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28E74" w14:textId="77777777" w:rsidR="005C4B31" w:rsidRPr="00735474" w:rsidRDefault="005C4B31" w:rsidP="00571030">
      <w:pPr>
        <w:widowControl/>
        <w:tabs>
          <w:tab w:val="center" w:pos="4680"/>
        </w:tabs>
        <w:rPr>
          <w:sz w:val="24"/>
        </w:rPr>
      </w:pPr>
    </w:p>
    <w:p w14:paraId="0FFFE444" w14:textId="77777777" w:rsidR="00554DBA" w:rsidRPr="00735474" w:rsidRDefault="00554DBA" w:rsidP="00571030">
      <w:pPr>
        <w:widowControl/>
        <w:tabs>
          <w:tab w:val="center" w:pos="4680"/>
        </w:tabs>
        <w:rPr>
          <w:b/>
          <w:bCs/>
          <w:sz w:val="24"/>
        </w:rPr>
      </w:pPr>
      <w:r w:rsidRPr="00735474">
        <w:rPr>
          <w:sz w:val="24"/>
        </w:rPr>
        <w:t>SUPPORTING STATEMENT FOR PAPERWORK REDUCTION ACT 1995 SUBMISSIONS</w:t>
      </w:r>
    </w:p>
    <w:p w14:paraId="66E4BC5F" w14:textId="77777777" w:rsidR="00554DBA" w:rsidRPr="00735474" w:rsidRDefault="00554DBA" w:rsidP="00571030">
      <w:pPr>
        <w:pStyle w:val="Heading1"/>
        <w:keepNext w:val="0"/>
        <w:widowControl/>
        <w:rPr>
          <w:b w:val="0"/>
          <w:sz w:val="24"/>
        </w:rPr>
      </w:pPr>
    </w:p>
    <w:p w14:paraId="701B8723" w14:textId="77777777" w:rsidR="00554DBA" w:rsidRPr="00735474" w:rsidRDefault="00554DBA" w:rsidP="00571030">
      <w:pPr>
        <w:pStyle w:val="Heading1"/>
        <w:keepNext w:val="0"/>
        <w:widowControl/>
        <w:rPr>
          <w:sz w:val="24"/>
        </w:rPr>
      </w:pPr>
      <w:r w:rsidRPr="00735474">
        <w:rPr>
          <w:sz w:val="24"/>
        </w:rPr>
        <w:t>A.</w:t>
      </w:r>
      <w:r w:rsidRPr="00735474">
        <w:rPr>
          <w:sz w:val="24"/>
        </w:rPr>
        <w:tab/>
        <w:t>Justification</w:t>
      </w:r>
    </w:p>
    <w:p w14:paraId="6B1C48DE" w14:textId="77777777" w:rsidR="00554DBA" w:rsidRPr="00735474" w:rsidRDefault="00554DBA" w:rsidP="00571030">
      <w:pPr>
        <w:widowControl/>
        <w:rPr>
          <w:sz w:val="24"/>
        </w:rPr>
      </w:pPr>
    </w:p>
    <w:p w14:paraId="37244FEE" w14:textId="77777777" w:rsidR="00554DBA" w:rsidRPr="00735474" w:rsidRDefault="00554DBA" w:rsidP="00571030">
      <w:pPr>
        <w:pStyle w:val="Quick1"/>
        <w:widowControl/>
        <w:rPr>
          <w:sz w:val="24"/>
        </w:rPr>
      </w:pPr>
      <w:r w:rsidRPr="00735474">
        <w:rPr>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3C7C26" w:rsidRPr="00735474">
        <w:rPr>
          <w:sz w:val="24"/>
        </w:rPr>
        <w:t>.</w:t>
      </w:r>
    </w:p>
    <w:p w14:paraId="071B2ADE" w14:textId="77777777" w:rsidR="00554DBA" w:rsidRPr="00735474" w:rsidRDefault="00554DBA" w:rsidP="00571030">
      <w:pPr>
        <w:widowControl/>
        <w:jc w:val="both"/>
        <w:rPr>
          <w:sz w:val="24"/>
        </w:rPr>
      </w:pPr>
    </w:p>
    <w:p w14:paraId="38482C1D" w14:textId="37E5C808" w:rsidR="00554DBA" w:rsidRPr="00735474" w:rsidRDefault="008F54F4" w:rsidP="00735474">
      <w:pPr>
        <w:widowControl/>
        <w:jc w:val="both"/>
        <w:rPr>
          <w:sz w:val="24"/>
        </w:rPr>
      </w:pPr>
      <w:r w:rsidRPr="00735474">
        <w:rPr>
          <w:sz w:val="24"/>
        </w:rPr>
        <w:t xml:space="preserve">Section 105(a) of the Employee Retirement Income Security Act of 1974 (ERISA), which is administered by DOL, requires administrators of ERISA-covered individual account plans to automatically furnish periodic benefit statements to participants and beneficiaries.  </w:t>
      </w:r>
      <w:r w:rsidR="00554DBA" w:rsidRPr="00735474">
        <w:rPr>
          <w:sz w:val="24"/>
        </w:rPr>
        <w:t>The Department of Labor</w:t>
      </w:r>
      <w:r w:rsidR="000C302B" w:rsidRPr="00735474">
        <w:rPr>
          <w:sz w:val="24"/>
        </w:rPr>
        <w:t>’s</w:t>
      </w:r>
      <w:r w:rsidR="00554DBA" w:rsidRPr="00735474">
        <w:rPr>
          <w:sz w:val="24"/>
        </w:rPr>
        <w:t xml:space="preserve"> Employee Benefits Security Administration (DOL-EBSA) is requesting approval from the Office of Management and Budget (OMB) to conduct a survey and </w:t>
      </w:r>
      <w:r w:rsidRPr="00735474">
        <w:rPr>
          <w:sz w:val="24"/>
        </w:rPr>
        <w:t xml:space="preserve">an </w:t>
      </w:r>
      <w:r w:rsidR="00554DBA" w:rsidRPr="00735474">
        <w:rPr>
          <w:sz w:val="24"/>
        </w:rPr>
        <w:t xml:space="preserve">experiment on participants in an existing household internet panel called the American Life Panel (ALP) and to conduct four focus groups of non-panel members.  The survey and focus groups are exploring whether information </w:t>
      </w:r>
      <w:r w:rsidRPr="00735474">
        <w:rPr>
          <w:sz w:val="24"/>
        </w:rPr>
        <w:t xml:space="preserve">contained </w:t>
      </w:r>
      <w:r w:rsidR="00554DBA" w:rsidRPr="00735474">
        <w:rPr>
          <w:sz w:val="24"/>
        </w:rPr>
        <w:t xml:space="preserve">in </w:t>
      </w:r>
      <w:r w:rsidRPr="00735474">
        <w:rPr>
          <w:sz w:val="24"/>
        </w:rPr>
        <w:t xml:space="preserve">sample </w:t>
      </w:r>
      <w:r w:rsidR="00554DBA" w:rsidRPr="00735474">
        <w:rPr>
          <w:sz w:val="24"/>
        </w:rPr>
        <w:t>benefit statements can be presented in a way that improve</w:t>
      </w:r>
      <w:r w:rsidRPr="00735474">
        <w:rPr>
          <w:sz w:val="24"/>
        </w:rPr>
        <w:t>s</w:t>
      </w:r>
      <w:r w:rsidR="00554DBA" w:rsidRPr="00735474">
        <w:rPr>
          <w:sz w:val="24"/>
        </w:rPr>
        <w:t xml:space="preserve"> </w:t>
      </w:r>
      <w:r w:rsidRPr="00735474">
        <w:rPr>
          <w:sz w:val="24"/>
        </w:rPr>
        <w:t xml:space="preserve">recipients’ </w:t>
      </w:r>
      <w:r w:rsidR="00554DBA" w:rsidRPr="00735474">
        <w:rPr>
          <w:sz w:val="24"/>
        </w:rPr>
        <w:t>understanding of th</w:t>
      </w:r>
      <w:r w:rsidRPr="00735474">
        <w:rPr>
          <w:sz w:val="24"/>
        </w:rPr>
        <w:t>e</w:t>
      </w:r>
      <w:r w:rsidR="00554DBA" w:rsidRPr="00735474">
        <w:rPr>
          <w:sz w:val="24"/>
        </w:rPr>
        <w:t xml:space="preserve"> statements and helps them better plan for retirement. </w:t>
      </w:r>
      <w:r w:rsidR="00FC7D24" w:rsidRPr="00735474">
        <w:rPr>
          <w:sz w:val="24"/>
        </w:rPr>
        <w:t xml:space="preserve"> </w:t>
      </w:r>
      <w:r w:rsidR="00554DBA" w:rsidRPr="00735474">
        <w:rPr>
          <w:sz w:val="24"/>
        </w:rPr>
        <w:t>This project is funded by DOL-EBSA</w:t>
      </w:r>
      <w:r w:rsidR="00FC7D24" w:rsidRPr="00735474">
        <w:rPr>
          <w:sz w:val="24"/>
        </w:rPr>
        <w:t xml:space="preserve">.  </w:t>
      </w:r>
      <w:r w:rsidR="00554DBA" w:rsidRPr="00735474">
        <w:rPr>
          <w:sz w:val="24"/>
        </w:rPr>
        <w:t>DOL has contracted with the RAND Corporation, a non-profit research institute, to conduct this study.</w:t>
      </w:r>
    </w:p>
    <w:p w14:paraId="43D1277B" w14:textId="77777777" w:rsidR="00554DBA" w:rsidRPr="00735474" w:rsidRDefault="00554DBA" w:rsidP="00571030">
      <w:pPr>
        <w:widowControl/>
        <w:ind w:left="720"/>
        <w:jc w:val="both"/>
        <w:rPr>
          <w:sz w:val="24"/>
        </w:rPr>
      </w:pPr>
    </w:p>
    <w:p w14:paraId="49E47672" w14:textId="77777777" w:rsidR="00554DBA" w:rsidRPr="00735474" w:rsidRDefault="00554DBA" w:rsidP="00571030">
      <w:pPr>
        <w:widowControl/>
        <w:jc w:val="both"/>
        <w:rPr>
          <w:sz w:val="24"/>
        </w:rPr>
      </w:pPr>
      <w:r w:rsidRPr="00735474">
        <w:rPr>
          <w:sz w:val="24"/>
        </w:rPr>
        <w:t>Specifically, the data will be collected through the following methods:</w:t>
      </w:r>
    </w:p>
    <w:p w14:paraId="5CA0C84E" w14:textId="77777777" w:rsidR="00554DBA" w:rsidRPr="00735474" w:rsidRDefault="00554DBA" w:rsidP="00571030">
      <w:pPr>
        <w:widowControl/>
        <w:numPr>
          <w:ilvl w:val="0"/>
          <w:numId w:val="18"/>
        </w:numPr>
        <w:tabs>
          <w:tab w:val="clear" w:pos="720"/>
          <w:tab w:val="num" w:pos="1080"/>
        </w:tabs>
        <w:autoSpaceDE/>
        <w:autoSpaceDN/>
        <w:adjustRightInd/>
        <w:ind w:left="1080"/>
        <w:jc w:val="both"/>
        <w:rPr>
          <w:sz w:val="24"/>
        </w:rPr>
      </w:pPr>
      <w:r w:rsidRPr="00735474">
        <w:rPr>
          <w:sz w:val="24"/>
        </w:rPr>
        <w:t xml:space="preserve">Four focus groups that will pretest the model benefits statements, </w:t>
      </w:r>
      <w:proofErr w:type="gramStart"/>
      <w:r w:rsidRPr="00735474">
        <w:rPr>
          <w:sz w:val="24"/>
        </w:rPr>
        <w:t>each</w:t>
      </w:r>
      <w:r w:rsidR="00C52D8C" w:rsidRPr="00735474">
        <w:rPr>
          <w:sz w:val="24"/>
        </w:rPr>
        <w:t xml:space="preserve"> </w:t>
      </w:r>
      <w:r w:rsidRPr="00735474">
        <w:rPr>
          <w:sz w:val="24"/>
        </w:rPr>
        <w:t>containing slightly</w:t>
      </w:r>
      <w:r w:rsidR="005C4B31" w:rsidRPr="00735474">
        <w:rPr>
          <w:sz w:val="24"/>
        </w:rPr>
        <w:t xml:space="preserve"> </w:t>
      </w:r>
      <w:r w:rsidRPr="00735474">
        <w:rPr>
          <w:sz w:val="24"/>
        </w:rPr>
        <w:t>different information</w:t>
      </w:r>
      <w:proofErr w:type="gramEnd"/>
      <w:r w:rsidRPr="00735474">
        <w:rPr>
          <w:sz w:val="24"/>
        </w:rPr>
        <w:t>.</w:t>
      </w:r>
    </w:p>
    <w:p w14:paraId="1F3150D3" w14:textId="4E629B1F" w:rsidR="00554DBA" w:rsidRPr="00735474" w:rsidRDefault="00554DBA" w:rsidP="00571030">
      <w:pPr>
        <w:widowControl/>
        <w:numPr>
          <w:ilvl w:val="0"/>
          <w:numId w:val="18"/>
        </w:numPr>
        <w:tabs>
          <w:tab w:val="clear" w:pos="720"/>
          <w:tab w:val="num" w:pos="1080"/>
        </w:tabs>
        <w:autoSpaceDE/>
        <w:autoSpaceDN/>
        <w:adjustRightInd/>
        <w:ind w:left="1080"/>
        <w:jc w:val="both"/>
        <w:rPr>
          <w:sz w:val="24"/>
        </w:rPr>
      </w:pPr>
      <w:r w:rsidRPr="00735474">
        <w:rPr>
          <w:sz w:val="24"/>
        </w:rPr>
        <w:t>A survey of 2,900 respondent</w:t>
      </w:r>
      <w:r w:rsidR="00735474" w:rsidRPr="00735474">
        <w:rPr>
          <w:sz w:val="24"/>
        </w:rPr>
        <w:t>s from the American Life Panel.</w:t>
      </w:r>
    </w:p>
    <w:p w14:paraId="41F66520" w14:textId="77777777" w:rsidR="00554DBA" w:rsidRPr="00735474" w:rsidRDefault="00554DBA" w:rsidP="00571030">
      <w:pPr>
        <w:widowControl/>
        <w:autoSpaceDE/>
        <w:autoSpaceDN/>
        <w:adjustRightInd/>
        <w:ind w:left="1080"/>
        <w:jc w:val="both"/>
        <w:rPr>
          <w:sz w:val="24"/>
        </w:rPr>
      </w:pPr>
    </w:p>
    <w:p w14:paraId="2492587D" w14:textId="77777777" w:rsidR="00554DBA" w:rsidRPr="00735474" w:rsidRDefault="00554DBA" w:rsidP="00571030">
      <w:pPr>
        <w:pStyle w:val="Quick1"/>
        <w:widowControl/>
        <w:rPr>
          <w:sz w:val="24"/>
        </w:rPr>
      </w:pPr>
      <w:r w:rsidRPr="00735474">
        <w:rPr>
          <w:sz w:val="24"/>
        </w:rPr>
        <w:t>Indicate how, by whom, and for what purpose the information is to be used.  Except for a new collection, indicate the actual use the agency has made of the information received from the current collection.</w:t>
      </w:r>
    </w:p>
    <w:p w14:paraId="1D59816A" w14:textId="77777777" w:rsidR="00554DBA" w:rsidRPr="00735474" w:rsidRDefault="00554DBA" w:rsidP="00571030">
      <w:pPr>
        <w:widowControl/>
        <w:jc w:val="both"/>
        <w:rPr>
          <w:sz w:val="24"/>
        </w:rPr>
      </w:pPr>
    </w:p>
    <w:p w14:paraId="0DC6765C" w14:textId="77777777" w:rsidR="00554DBA" w:rsidRPr="00735474" w:rsidRDefault="00554DBA" w:rsidP="00735474">
      <w:pPr>
        <w:widowControl/>
        <w:rPr>
          <w:sz w:val="24"/>
        </w:rPr>
      </w:pPr>
      <w:r w:rsidRPr="00735474">
        <w:rPr>
          <w:sz w:val="24"/>
        </w:rPr>
        <w:t xml:space="preserve">Topics probed in the survey include </w:t>
      </w:r>
      <w:r w:rsidR="003C7C26" w:rsidRPr="00735474">
        <w:rPr>
          <w:sz w:val="24"/>
        </w:rPr>
        <w:t xml:space="preserve">identification of participants’ </w:t>
      </w:r>
      <w:r w:rsidRPr="00735474">
        <w:rPr>
          <w:sz w:val="24"/>
        </w:rPr>
        <w:t>current allocations to their retirement accounts, their expectations for how long they will need to keep working, their financial goals for retirement, the basis for calculating those goals, questions about how frequently they view their current benefits statement, in what format (paper versus electronically)</w:t>
      </w:r>
      <w:r w:rsidR="003C7C26" w:rsidRPr="00735474">
        <w:rPr>
          <w:sz w:val="24"/>
        </w:rPr>
        <w:t xml:space="preserve"> they view their benefit statements</w:t>
      </w:r>
      <w:r w:rsidRPr="00735474">
        <w:rPr>
          <w:sz w:val="24"/>
        </w:rPr>
        <w:t xml:space="preserve"> and what information in those statements do they focus on.  Survey participants will then be provided with two different benefits statements that provide slightly different information and are asked to answer some questions based on those statements to better assess what they understand about the statements.</w:t>
      </w:r>
    </w:p>
    <w:p w14:paraId="11B75967" w14:textId="77777777" w:rsidR="00554DBA" w:rsidRPr="00735474" w:rsidRDefault="00554DBA" w:rsidP="00571030">
      <w:pPr>
        <w:widowControl/>
        <w:rPr>
          <w:sz w:val="24"/>
        </w:rPr>
      </w:pPr>
    </w:p>
    <w:p w14:paraId="41ED7DD0" w14:textId="458B1025" w:rsidR="00855ABA" w:rsidRPr="00735474" w:rsidRDefault="00FD799A" w:rsidP="00735474">
      <w:pPr>
        <w:widowControl/>
        <w:rPr>
          <w:sz w:val="24"/>
        </w:rPr>
      </w:pPr>
      <w:r w:rsidRPr="00735474">
        <w:rPr>
          <w:sz w:val="24"/>
        </w:rPr>
        <w:t xml:space="preserve">Section 105(a) of ERISA requires administrators of ERISA-covered individual account plans to automatically furnish periodic benefit statements to participants and beneficiaries.  The statements must be provided quarterly for participants in participant-directed individual account plans and annually for participants in non-participant-directed individual account plans. </w:t>
      </w:r>
      <w:r w:rsidR="001F11FF" w:rsidRPr="00735474">
        <w:rPr>
          <w:sz w:val="24"/>
        </w:rPr>
        <w:t xml:space="preserve"> </w:t>
      </w:r>
      <w:r w:rsidR="00F534F5" w:rsidRPr="00735474">
        <w:rPr>
          <w:sz w:val="24"/>
        </w:rPr>
        <w:t xml:space="preserve">The </w:t>
      </w:r>
      <w:r w:rsidR="00F534F5" w:rsidRPr="00735474">
        <w:rPr>
          <w:sz w:val="24"/>
        </w:rPr>
        <w:lastRenderedPageBreak/>
        <w:t xml:space="preserve">study results, combined with findings from a literature review and analysis of existing data, will be used to </w:t>
      </w:r>
      <w:r w:rsidR="003C7C26" w:rsidRPr="00735474">
        <w:rPr>
          <w:sz w:val="24"/>
        </w:rPr>
        <w:t xml:space="preserve">inform </w:t>
      </w:r>
      <w:r w:rsidR="00F534F5" w:rsidRPr="00735474">
        <w:rPr>
          <w:sz w:val="24"/>
        </w:rPr>
        <w:t xml:space="preserve">the </w:t>
      </w:r>
      <w:r w:rsidRPr="00735474">
        <w:rPr>
          <w:sz w:val="24"/>
        </w:rPr>
        <w:t xml:space="preserve">DOL’s </w:t>
      </w:r>
      <w:r w:rsidR="00F534F5" w:rsidRPr="00735474">
        <w:rPr>
          <w:sz w:val="24"/>
        </w:rPr>
        <w:t>rulemaking and comply with the Pension Protection Act’s requirement that DOL develop model benefits statements</w:t>
      </w:r>
      <w:r w:rsidR="00735474" w:rsidRPr="00735474">
        <w:rPr>
          <w:sz w:val="24"/>
        </w:rPr>
        <w:t>.</w:t>
      </w:r>
    </w:p>
    <w:p w14:paraId="4F0073A5" w14:textId="77777777" w:rsidR="008F76E5" w:rsidRPr="00735474" w:rsidRDefault="008F76E5" w:rsidP="00571030">
      <w:pPr>
        <w:widowControl/>
        <w:rPr>
          <w:sz w:val="24"/>
        </w:rPr>
      </w:pPr>
    </w:p>
    <w:p w14:paraId="5F616E09" w14:textId="77777777" w:rsidR="00AC4054" w:rsidRPr="00735474" w:rsidRDefault="00AC4054" w:rsidP="00571030">
      <w:pPr>
        <w:pStyle w:val="Quick1"/>
        <w:widowControl/>
        <w:rPr>
          <w:sz w:val="24"/>
        </w:rPr>
      </w:pPr>
      <w:r w:rsidRPr="00735474">
        <w:rPr>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14:paraId="37C73B18" w14:textId="77777777" w:rsidR="00080098" w:rsidRPr="00735474" w:rsidRDefault="00080098" w:rsidP="00571030">
      <w:pPr>
        <w:widowControl/>
        <w:rPr>
          <w:sz w:val="24"/>
        </w:rPr>
      </w:pPr>
    </w:p>
    <w:p w14:paraId="7132C9CE" w14:textId="77777777" w:rsidR="00080098" w:rsidRPr="00735474" w:rsidRDefault="00576FDE" w:rsidP="00735474">
      <w:pPr>
        <w:widowControl/>
        <w:rPr>
          <w:sz w:val="24"/>
        </w:rPr>
      </w:pPr>
      <w:r w:rsidRPr="00735474">
        <w:rPr>
          <w:sz w:val="24"/>
        </w:rPr>
        <w:t>The ALP is an Internet panel and hence will utilize a web-based instrument for data collection.  This web-survey will be formatted to be easy to read and navigate</w:t>
      </w:r>
      <w:r w:rsidR="0059665D" w:rsidRPr="00735474">
        <w:rPr>
          <w:sz w:val="24"/>
        </w:rPr>
        <w:t>.</w:t>
      </w:r>
    </w:p>
    <w:p w14:paraId="4474C59E" w14:textId="77777777" w:rsidR="00080098" w:rsidRPr="00735474" w:rsidRDefault="00080098" w:rsidP="00571030">
      <w:pPr>
        <w:widowControl/>
        <w:rPr>
          <w:sz w:val="24"/>
        </w:rPr>
      </w:pPr>
    </w:p>
    <w:p w14:paraId="4ECE19E3" w14:textId="77777777" w:rsidR="00080098" w:rsidRPr="00735474" w:rsidRDefault="00080098" w:rsidP="00735474">
      <w:pPr>
        <w:widowControl/>
        <w:rPr>
          <w:sz w:val="24"/>
        </w:rPr>
      </w:pPr>
      <w:r w:rsidRPr="00735474">
        <w:rPr>
          <w:sz w:val="24"/>
        </w:rPr>
        <w:t xml:space="preserve">In addition, the existing ALP Records Management System (RMS) will be used to manage the survey sample, document interim and final case status codes, and generate progress reports.  The RMS will track case status in all modes and will document the actions and outcomes for each and every case in the sample for all phases of activity.  The centralization of record management across survey modes provides for integrated reporting and control over production. </w:t>
      </w:r>
    </w:p>
    <w:p w14:paraId="53C3EAFC" w14:textId="77777777" w:rsidR="00080098" w:rsidRPr="00735474" w:rsidRDefault="00080098" w:rsidP="00571030">
      <w:pPr>
        <w:widowControl/>
        <w:rPr>
          <w:sz w:val="24"/>
        </w:rPr>
      </w:pPr>
    </w:p>
    <w:p w14:paraId="1E1AB75E" w14:textId="77777777" w:rsidR="00AC4054" w:rsidRPr="00735474" w:rsidRDefault="00AC4054" w:rsidP="00571030">
      <w:pPr>
        <w:pStyle w:val="Quick1"/>
        <w:widowControl/>
        <w:rPr>
          <w:sz w:val="24"/>
        </w:rPr>
      </w:pPr>
      <w:r w:rsidRPr="00735474">
        <w:rPr>
          <w:sz w:val="24"/>
        </w:rPr>
        <w:t>Describe efforts to identify duplication.  Show specifically why any similar information already available cannot be used or modified for use for the purposes described in Item 2 above.</w:t>
      </w:r>
    </w:p>
    <w:p w14:paraId="5249259E" w14:textId="77777777" w:rsidR="00AC4054" w:rsidRPr="00735474" w:rsidRDefault="00AC4054" w:rsidP="00571030">
      <w:pPr>
        <w:widowControl/>
        <w:rPr>
          <w:sz w:val="24"/>
        </w:rPr>
      </w:pPr>
    </w:p>
    <w:p w14:paraId="5B34F16C" w14:textId="02F731B0" w:rsidR="00080098" w:rsidRPr="00735474" w:rsidRDefault="008D673B" w:rsidP="00735474">
      <w:pPr>
        <w:widowControl/>
        <w:jc w:val="both"/>
        <w:rPr>
          <w:sz w:val="24"/>
        </w:rPr>
      </w:pPr>
      <w:r w:rsidRPr="00735474">
        <w:rPr>
          <w:sz w:val="24"/>
        </w:rPr>
        <w:t xml:space="preserve">No recent and </w:t>
      </w:r>
      <w:r w:rsidR="00080098" w:rsidRPr="00735474">
        <w:rPr>
          <w:sz w:val="24"/>
        </w:rPr>
        <w:t xml:space="preserve">suitable national data </w:t>
      </w:r>
      <w:r w:rsidRPr="00735474">
        <w:rPr>
          <w:sz w:val="24"/>
        </w:rPr>
        <w:t xml:space="preserve">for the United States </w:t>
      </w:r>
      <w:r w:rsidR="00080098" w:rsidRPr="00735474">
        <w:rPr>
          <w:sz w:val="24"/>
        </w:rPr>
        <w:t>are available and no ongoing similar data collection is being conducted, according to the knowledge of the project team</w:t>
      </w:r>
      <w:r w:rsidRPr="00735474">
        <w:rPr>
          <w:sz w:val="24"/>
        </w:rPr>
        <w:t xml:space="preserve">, that </w:t>
      </w:r>
      <w:proofErr w:type="gramStart"/>
      <w:r w:rsidRPr="00735474">
        <w:rPr>
          <w:sz w:val="24"/>
        </w:rPr>
        <w:t>allow</w:t>
      </w:r>
      <w:proofErr w:type="gramEnd"/>
      <w:r w:rsidRPr="00735474">
        <w:rPr>
          <w:sz w:val="24"/>
        </w:rPr>
        <w:t xml:space="preserve"> a rigorous experimental analysis of advice and behavior</w:t>
      </w:r>
      <w:r w:rsidR="00080098" w:rsidRPr="00735474">
        <w:rPr>
          <w:sz w:val="24"/>
        </w:rPr>
        <w:t xml:space="preserve">. </w:t>
      </w:r>
      <w:r w:rsidR="00360F5D" w:rsidRPr="00735474">
        <w:rPr>
          <w:sz w:val="24"/>
        </w:rPr>
        <w:t xml:space="preserve"> </w:t>
      </w:r>
      <w:r w:rsidR="00080098" w:rsidRPr="00735474">
        <w:rPr>
          <w:sz w:val="24"/>
        </w:rPr>
        <w:t>RAND has done an extensive literature search</w:t>
      </w:r>
      <w:r w:rsidRPr="00735474">
        <w:rPr>
          <w:sz w:val="24"/>
        </w:rPr>
        <w:t xml:space="preserve"> on this topic</w:t>
      </w:r>
      <w:r w:rsidR="00080098" w:rsidRPr="00735474">
        <w:rPr>
          <w:sz w:val="24"/>
        </w:rPr>
        <w:t>, including peer-reviewed publications as well as the grey literature such as trade publications, reports or analyses from academic institutions, private companies, private foundations, and government agencies</w:t>
      </w:r>
      <w:r w:rsidR="00FD799A" w:rsidRPr="00735474">
        <w:rPr>
          <w:sz w:val="24"/>
        </w:rPr>
        <w:t>, and no reliable data was discovered</w:t>
      </w:r>
      <w:r w:rsidR="00080098" w:rsidRPr="00735474">
        <w:rPr>
          <w:sz w:val="24"/>
        </w:rPr>
        <w:t>.</w:t>
      </w:r>
      <w:r w:rsidRPr="00735474">
        <w:rPr>
          <w:sz w:val="24"/>
        </w:rPr>
        <w:t xml:space="preserve"> </w:t>
      </w:r>
      <w:r w:rsidR="00F6355B" w:rsidRPr="00735474">
        <w:rPr>
          <w:sz w:val="24"/>
        </w:rPr>
        <w:t xml:space="preserve"> </w:t>
      </w:r>
      <w:r w:rsidRPr="00735474">
        <w:rPr>
          <w:sz w:val="24"/>
        </w:rPr>
        <w:t xml:space="preserve">Timeliness is especially </w:t>
      </w:r>
      <w:proofErr w:type="gramStart"/>
      <w:r w:rsidRPr="00735474">
        <w:rPr>
          <w:sz w:val="24"/>
        </w:rPr>
        <w:t>key</w:t>
      </w:r>
      <w:proofErr w:type="gramEnd"/>
      <w:r w:rsidRPr="00735474">
        <w:rPr>
          <w:sz w:val="24"/>
        </w:rPr>
        <w:t xml:space="preserve"> as present economic conditions may have strong effects on economic decision making.</w:t>
      </w:r>
    </w:p>
    <w:p w14:paraId="191E909B" w14:textId="77777777" w:rsidR="00855ABA" w:rsidRPr="00735474" w:rsidRDefault="00855ABA" w:rsidP="00571030">
      <w:pPr>
        <w:pStyle w:val="Heading2"/>
        <w:keepNext w:val="0"/>
        <w:widowControl/>
        <w:spacing w:before="0" w:after="0"/>
        <w:rPr>
          <w:szCs w:val="24"/>
        </w:rPr>
      </w:pPr>
    </w:p>
    <w:p w14:paraId="449E5204" w14:textId="77777777" w:rsidR="00423E86" w:rsidRPr="00735474" w:rsidRDefault="00423E86" w:rsidP="00571030">
      <w:pPr>
        <w:pStyle w:val="Quick1"/>
        <w:widowControl/>
        <w:rPr>
          <w:sz w:val="24"/>
        </w:rPr>
      </w:pPr>
      <w:r w:rsidRPr="00735474">
        <w:rPr>
          <w:sz w:val="24"/>
        </w:rPr>
        <w:t>If the collection of information impacts small businesses or other small entities (Item 5 of OMB Form 83-I), describe any methods used to minimize burden.</w:t>
      </w:r>
    </w:p>
    <w:p w14:paraId="5DEB232B" w14:textId="77777777" w:rsidR="00423E86" w:rsidRPr="00735474" w:rsidRDefault="00423E86" w:rsidP="00571030">
      <w:pPr>
        <w:widowControl/>
        <w:rPr>
          <w:sz w:val="24"/>
        </w:rPr>
      </w:pPr>
    </w:p>
    <w:p w14:paraId="20B10F46" w14:textId="77777777" w:rsidR="00080098" w:rsidRPr="00735474" w:rsidRDefault="00080098" w:rsidP="00735474">
      <w:pPr>
        <w:widowControl/>
        <w:rPr>
          <w:sz w:val="24"/>
        </w:rPr>
      </w:pPr>
      <w:r w:rsidRPr="00735474">
        <w:rPr>
          <w:sz w:val="24"/>
        </w:rPr>
        <w:t xml:space="preserve">The surveys will have negligible impact on small entities. </w:t>
      </w:r>
      <w:r w:rsidR="00C35BAD" w:rsidRPr="00735474">
        <w:rPr>
          <w:sz w:val="24"/>
        </w:rPr>
        <w:t xml:space="preserve"> </w:t>
      </w:r>
      <w:r w:rsidRPr="00735474">
        <w:rPr>
          <w:sz w:val="24"/>
        </w:rPr>
        <w:t>Completion of the survey by respondents who are small</w:t>
      </w:r>
      <w:r w:rsidR="00FD799A" w:rsidRPr="00735474">
        <w:rPr>
          <w:sz w:val="24"/>
        </w:rPr>
        <w:t xml:space="preserve"> </w:t>
      </w:r>
      <w:r w:rsidRPr="00735474">
        <w:rPr>
          <w:sz w:val="24"/>
        </w:rPr>
        <w:t xml:space="preserve">business owners or employees will require minimal time out of respondents’ work days to complete (approximately </w:t>
      </w:r>
      <w:r w:rsidR="00D54D13" w:rsidRPr="00735474">
        <w:rPr>
          <w:sz w:val="24"/>
        </w:rPr>
        <w:t>18</w:t>
      </w:r>
      <w:r w:rsidRPr="00735474">
        <w:rPr>
          <w:sz w:val="24"/>
        </w:rPr>
        <w:t xml:space="preserve"> minutes to complete both tasks, including the time it may take respondents to look-up and retrieve needed information).</w:t>
      </w:r>
    </w:p>
    <w:p w14:paraId="6039E309" w14:textId="77777777" w:rsidR="00735474" w:rsidRPr="00735474" w:rsidRDefault="00735474" w:rsidP="00735474">
      <w:pPr>
        <w:widowControl/>
        <w:rPr>
          <w:sz w:val="24"/>
        </w:rPr>
      </w:pPr>
    </w:p>
    <w:p w14:paraId="43A3C46D" w14:textId="77777777" w:rsidR="00423E86" w:rsidRPr="00735474" w:rsidRDefault="00423E86" w:rsidP="00571030">
      <w:pPr>
        <w:pStyle w:val="Quick1"/>
        <w:widowControl/>
        <w:rPr>
          <w:sz w:val="24"/>
        </w:rPr>
      </w:pPr>
      <w:r w:rsidRPr="00735474">
        <w:rPr>
          <w:sz w:val="24"/>
        </w:rPr>
        <w:t>Describe the consequence to Federal program or policy activities if the collection is not conducted or is conducted less frequently, as well as any technical or legal obstacles to reducing burden.</w:t>
      </w:r>
    </w:p>
    <w:p w14:paraId="7CB354D3" w14:textId="77777777" w:rsidR="008D673B" w:rsidRPr="00735474" w:rsidRDefault="008D673B" w:rsidP="00571030">
      <w:pPr>
        <w:widowControl/>
        <w:rPr>
          <w:sz w:val="24"/>
        </w:rPr>
      </w:pPr>
    </w:p>
    <w:p w14:paraId="06CA0A95" w14:textId="77777777" w:rsidR="008D673B" w:rsidRPr="00735474" w:rsidRDefault="008D673B" w:rsidP="00735474">
      <w:pPr>
        <w:widowControl/>
        <w:rPr>
          <w:sz w:val="24"/>
        </w:rPr>
      </w:pPr>
      <w:r w:rsidRPr="00735474">
        <w:rPr>
          <w:sz w:val="24"/>
        </w:rPr>
        <w:lastRenderedPageBreak/>
        <w:t xml:space="preserve">This will be a one-time data collection effort.  In the absence of this data collection, we </w:t>
      </w:r>
      <w:r w:rsidR="00C52D8C" w:rsidRPr="00735474">
        <w:rPr>
          <w:sz w:val="24"/>
        </w:rPr>
        <w:t>will be</w:t>
      </w:r>
      <w:r w:rsidRPr="00735474">
        <w:rPr>
          <w:sz w:val="24"/>
        </w:rPr>
        <w:t xml:space="preserve"> </w:t>
      </w:r>
      <w:r w:rsidR="003462D5" w:rsidRPr="00735474">
        <w:rPr>
          <w:sz w:val="24"/>
        </w:rPr>
        <w:t xml:space="preserve">less </w:t>
      </w:r>
      <w:r w:rsidRPr="00735474">
        <w:rPr>
          <w:sz w:val="24"/>
        </w:rPr>
        <w:t xml:space="preserve">able to </w:t>
      </w:r>
      <w:r w:rsidR="003462D5" w:rsidRPr="00735474">
        <w:rPr>
          <w:sz w:val="24"/>
        </w:rPr>
        <w:t xml:space="preserve">thoroughly </w:t>
      </w:r>
      <w:r w:rsidRPr="00735474">
        <w:rPr>
          <w:sz w:val="24"/>
        </w:rPr>
        <w:t xml:space="preserve">assess </w:t>
      </w:r>
      <w:r w:rsidR="00BD2341" w:rsidRPr="00735474">
        <w:rPr>
          <w:sz w:val="24"/>
        </w:rPr>
        <w:t>whether different proposed</w:t>
      </w:r>
      <w:r w:rsidR="008C55D0" w:rsidRPr="00735474">
        <w:rPr>
          <w:sz w:val="24"/>
        </w:rPr>
        <w:t xml:space="preserve"> presentations of information on benefits statements will better assist </w:t>
      </w:r>
      <w:r w:rsidR="00FD799A" w:rsidRPr="00735474">
        <w:rPr>
          <w:sz w:val="24"/>
        </w:rPr>
        <w:t xml:space="preserve">workers </w:t>
      </w:r>
      <w:r w:rsidR="008C55D0" w:rsidRPr="00735474">
        <w:rPr>
          <w:sz w:val="24"/>
        </w:rPr>
        <w:t>with planning for retirement</w:t>
      </w:r>
      <w:r w:rsidRPr="00735474">
        <w:rPr>
          <w:sz w:val="24"/>
        </w:rPr>
        <w:t>.</w:t>
      </w:r>
    </w:p>
    <w:p w14:paraId="1004A736" w14:textId="77777777" w:rsidR="00423E86" w:rsidRPr="00735474" w:rsidRDefault="00423E86" w:rsidP="00571030">
      <w:pPr>
        <w:widowControl/>
        <w:rPr>
          <w:sz w:val="24"/>
        </w:rPr>
      </w:pPr>
    </w:p>
    <w:p w14:paraId="1D8F751F" w14:textId="77777777" w:rsidR="00423E86" w:rsidRPr="00735474" w:rsidRDefault="00423E86" w:rsidP="00571030">
      <w:pPr>
        <w:pStyle w:val="Quick1"/>
        <w:widowControl/>
        <w:rPr>
          <w:sz w:val="24"/>
        </w:rPr>
      </w:pPr>
      <w:r w:rsidRPr="00735474">
        <w:rPr>
          <w:sz w:val="24"/>
        </w:rPr>
        <w:t>Explain any special circumstances that would cause an information collection to be conducted in a manner:</w:t>
      </w:r>
    </w:p>
    <w:p w14:paraId="238CEA13" w14:textId="77777777" w:rsidR="00423E86" w:rsidRPr="00735474" w:rsidRDefault="00423E86" w:rsidP="00571030">
      <w:pPr>
        <w:widowControl/>
        <w:rPr>
          <w:i/>
          <w:iCs/>
          <w:sz w:val="24"/>
        </w:rPr>
      </w:pPr>
    </w:p>
    <w:p w14:paraId="6FFC9D23" w14:textId="77777777" w:rsidR="00423E86" w:rsidRPr="00735474" w:rsidRDefault="00423E86" w:rsidP="00571030">
      <w:pPr>
        <w:widowControl/>
        <w:tabs>
          <w:tab w:val="left" w:pos="-1440"/>
        </w:tabs>
        <w:ind w:left="1440" w:hanging="720"/>
        <w:rPr>
          <w:b/>
          <w:i/>
          <w:iCs/>
          <w:sz w:val="24"/>
        </w:rPr>
      </w:pPr>
      <w:r w:rsidRPr="00735474">
        <w:rPr>
          <w:i/>
          <w:iCs/>
          <w:sz w:val="24"/>
        </w:rPr>
        <w:t>•</w:t>
      </w:r>
      <w:r w:rsidRPr="00735474">
        <w:rPr>
          <w:i/>
          <w:iCs/>
          <w:sz w:val="24"/>
        </w:rPr>
        <w:tab/>
      </w:r>
      <w:proofErr w:type="gramStart"/>
      <w:r w:rsidRPr="00735474">
        <w:rPr>
          <w:b/>
          <w:i/>
          <w:iCs/>
          <w:sz w:val="24"/>
        </w:rPr>
        <w:t>requiring</w:t>
      </w:r>
      <w:proofErr w:type="gramEnd"/>
      <w:r w:rsidRPr="00735474">
        <w:rPr>
          <w:b/>
          <w:i/>
          <w:iCs/>
          <w:sz w:val="24"/>
        </w:rPr>
        <w:t xml:space="preserve"> respondents to report information to the agency more often than quarterly;</w:t>
      </w:r>
    </w:p>
    <w:p w14:paraId="4925376F" w14:textId="77777777" w:rsidR="00423E86" w:rsidRPr="00735474" w:rsidRDefault="00423E86" w:rsidP="00571030">
      <w:pPr>
        <w:widowControl/>
        <w:rPr>
          <w:b/>
          <w:i/>
          <w:iCs/>
          <w:sz w:val="24"/>
        </w:rPr>
      </w:pPr>
    </w:p>
    <w:p w14:paraId="33CC7092"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requiring respondents to prepare a written response to a collection of information in fewer than 30 days after receipt of it;</w:t>
      </w:r>
    </w:p>
    <w:p w14:paraId="4507634F" w14:textId="77777777" w:rsidR="00423E86" w:rsidRPr="00735474" w:rsidRDefault="00423E86" w:rsidP="00571030">
      <w:pPr>
        <w:widowControl/>
        <w:rPr>
          <w:b/>
          <w:i/>
          <w:iCs/>
          <w:sz w:val="24"/>
        </w:rPr>
      </w:pPr>
    </w:p>
    <w:p w14:paraId="4779B879"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requiring respondents to submit more than an original and two copies of any document;</w:t>
      </w:r>
    </w:p>
    <w:p w14:paraId="23A6CD94" w14:textId="77777777" w:rsidR="00423E86" w:rsidRPr="00735474" w:rsidRDefault="00423E86" w:rsidP="00571030">
      <w:pPr>
        <w:widowControl/>
        <w:rPr>
          <w:b/>
          <w:i/>
          <w:iCs/>
          <w:sz w:val="24"/>
        </w:rPr>
      </w:pPr>
    </w:p>
    <w:p w14:paraId="51297584"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requiring respondents to retain records, other than health, medical, government contract, grant-in-aid, or tax records for more than three years;</w:t>
      </w:r>
    </w:p>
    <w:p w14:paraId="3E8E1F1F" w14:textId="77777777" w:rsidR="00423E86" w:rsidRPr="00735474" w:rsidRDefault="00423E86" w:rsidP="00571030">
      <w:pPr>
        <w:widowControl/>
        <w:rPr>
          <w:b/>
          <w:i/>
          <w:iCs/>
          <w:sz w:val="24"/>
        </w:rPr>
      </w:pPr>
    </w:p>
    <w:p w14:paraId="6D4CBDC1"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r>
      <w:proofErr w:type="gramStart"/>
      <w:r w:rsidRPr="00735474">
        <w:rPr>
          <w:b/>
          <w:i/>
          <w:iCs/>
          <w:sz w:val="24"/>
        </w:rPr>
        <w:t>in</w:t>
      </w:r>
      <w:proofErr w:type="gramEnd"/>
      <w:r w:rsidRPr="00735474">
        <w:rPr>
          <w:b/>
          <w:i/>
          <w:iCs/>
          <w:sz w:val="24"/>
        </w:rPr>
        <w:t xml:space="preserve"> connection with a statistical survey, that is not designed to produce valid and reliable results that can be generalized to the universe of study;</w:t>
      </w:r>
    </w:p>
    <w:p w14:paraId="3418789E" w14:textId="77777777" w:rsidR="00423E86" w:rsidRPr="00735474" w:rsidRDefault="00423E86" w:rsidP="00571030">
      <w:pPr>
        <w:widowControl/>
        <w:rPr>
          <w:b/>
          <w:i/>
          <w:iCs/>
          <w:sz w:val="24"/>
        </w:rPr>
      </w:pPr>
    </w:p>
    <w:p w14:paraId="29D827A2"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requiring the use of a statistical data classification that has not been reviewed and approved by OMB;</w:t>
      </w:r>
    </w:p>
    <w:p w14:paraId="64752A58" w14:textId="77777777" w:rsidR="00423E86" w:rsidRPr="00735474" w:rsidRDefault="00423E86" w:rsidP="00571030">
      <w:pPr>
        <w:widowControl/>
        <w:rPr>
          <w:b/>
          <w:i/>
          <w:iCs/>
          <w:sz w:val="24"/>
        </w:rPr>
      </w:pPr>
    </w:p>
    <w:p w14:paraId="7DE67085"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C779681" w14:textId="77777777" w:rsidR="00423E86" w:rsidRPr="00735474" w:rsidRDefault="00423E86" w:rsidP="00571030">
      <w:pPr>
        <w:widowControl/>
        <w:rPr>
          <w:b/>
          <w:i/>
          <w:iCs/>
          <w:sz w:val="24"/>
        </w:rPr>
      </w:pPr>
    </w:p>
    <w:p w14:paraId="62D593D3"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requiring respondents to submit proprietary trade secret, or other confidential information unless the agency can demonstrate that it has instituted procedures to protect the information's confidentiality to the extent permitted by law.</w:t>
      </w:r>
    </w:p>
    <w:p w14:paraId="34AA37CC" w14:textId="77777777" w:rsidR="00423E86" w:rsidRPr="00735474" w:rsidRDefault="00423E86" w:rsidP="00571030">
      <w:pPr>
        <w:widowControl/>
        <w:rPr>
          <w:sz w:val="24"/>
        </w:rPr>
      </w:pPr>
    </w:p>
    <w:p w14:paraId="012B6B26" w14:textId="77777777" w:rsidR="008D673B" w:rsidRPr="00735474" w:rsidRDefault="008D673B" w:rsidP="00735474">
      <w:pPr>
        <w:widowControl/>
        <w:rPr>
          <w:sz w:val="24"/>
        </w:rPr>
      </w:pPr>
      <w:r w:rsidRPr="00735474">
        <w:rPr>
          <w:sz w:val="24"/>
        </w:rPr>
        <w:t>This request is consistent with the general information collection guidelines of 5 CFR 1320.5(d</w:t>
      </w:r>
      <w:proofErr w:type="gramStart"/>
      <w:r w:rsidRPr="00735474">
        <w:rPr>
          <w:sz w:val="24"/>
        </w:rPr>
        <w:t>)(</w:t>
      </w:r>
      <w:proofErr w:type="gramEnd"/>
      <w:r w:rsidRPr="00735474">
        <w:rPr>
          <w:sz w:val="24"/>
        </w:rPr>
        <w:t>2).  No special circumstances apply.</w:t>
      </w:r>
    </w:p>
    <w:p w14:paraId="79BA42B4" w14:textId="77777777" w:rsidR="00855ABA" w:rsidRPr="00735474" w:rsidRDefault="00855ABA" w:rsidP="00571030">
      <w:pPr>
        <w:pStyle w:val="Heading2"/>
        <w:keepNext w:val="0"/>
        <w:widowControl/>
        <w:spacing w:before="0" w:after="0"/>
        <w:rPr>
          <w:szCs w:val="24"/>
        </w:rPr>
      </w:pPr>
    </w:p>
    <w:p w14:paraId="799DF28B" w14:textId="77777777" w:rsidR="00423E86" w:rsidRPr="00735474" w:rsidRDefault="00423E86" w:rsidP="00571030">
      <w:pPr>
        <w:pStyle w:val="Quick1"/>
        <w:widowControl/>
        <w:rPr>
          <w:sz w:val="24"/>
        </w:rPr>
      </w:pPr>
      <w:r w:rsidRPr="00735474">
        <w:rPr>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B6EAD51" w14:textId="77777777" w:rsidR="00423E86" w:rsidRPr="00735474" w:rsidRDefault="00423E86" w:rsidP="00571030">
      <w:pPr>
        <w:widowControl/>
        <w:rPr>
          <w:i/>
          <w:iCs/>
          <w:sz w:val="24"/>
        </w:rPr>
      </w:pPr>
    </w:p>
    <w:p w14:paraId="1FFBC8C8" w14:textId="77777777" w:rsidR="00423E86" w:rsidRPr="00735474" w:rsidRDefault="00423E86" w:rsidP="00571030">
      <w:pPr>
        <w:widowControl/>
        <w:ind w:left="720"/>
        <w:rPr>
          <w:b/>
          <w:i/>
          <w:iCs/>
          <w:sz w:val="24"/>
        </w:rPr>
      </w:pPr>
      <w:r w:rsidRPr="00735474">
        <w:rPr>
          <w:b/>
          <w:i/>
          <w:i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95257A8" w14:textId="77777777" w:rsidR="00423E86" w:rsidRPr="00735474" w:rsidRDefault="00423E86" w:rsidP="00571030">
      <w:pPr>
        <w:widowControl/>
        <w:rPr>
          <w:b/>
          <w:i/>
          <w:iCs/>
          <w:sz w:val="24"/>
        </w:rPr>
      </w:pPr>
    </w:p>
    <w:p w14:paraId="06F987F3" w14:textId="77777777" w:rsidR="00423E86" w:rsidRPr="00735474" w:rsidRDefault="00423E86" w:rsidP="00571030">
      <w:pPr>
        <w:widowControl/>
        <w:ind w:left="720"/>
        <w:rPr>
          <w:b/>
          <w:i/>
          <w:iCs/>
          <w:sz w:val="24"/>
        </w:rPr>
      </w:pPr>
      <w:r w:rsidRPr="00735474">
        <w:rPr>
          <w:b/>
          <w:i/>
          <w:iCs/>
          <w:sz w:val="24"/>
        </w:rPr>
        <w:t xml:space="preserve">Consultation with representatives of those from whom information is to be obtained or those who must compile records should occur at least once every 3 years -- even if the collection of information activity is </w:t>
      </w:r>
      <w:r w:rsidRPr="00735474">
        <w:rPr>
          <w:b/>
          <w:i/>
          <w:iCs/>
          <w:sz w:val="24"/>
        </w:rPr>
        <w:lastRenderedPageBreak/>
        <w:t>the same as in prior periods.  There may be circumstances that may preclude consultation in a specific situation.  These circumstances should be explained.</w:t>
      </w:r>
    </w:p>
    <w:p w14:paraId="2DE1266F" w14:textId="77777777" w:rsidR="00423E86" w:rsidRPr="00735474" w:rsidRDefault="00423E86" w:rsidP="00571030">
      <w:pPr>
        <w:widowControl/>
        <w:rPr>
          <w:sz w:val="24"/>
        </w:rPr>
      </w:pPr>
    </w:p>
    <w:p w14:paraId="318C29CC" w14:textId="77777777" w:rsidR="00D26B43" w:rsidRPr="00735474" w:rsidRDefault="00F534F5" w:rsidP="00735474">
      <w:pPr>
        <w:widowControl/>
        <w:rPr>
          <w:sz w:val="24"/>
        </w:rPr>
      </w:pPr>
      <w:r w:rsidRPr="00735474">
        <w:rPr>
          <w:sz w:val="24"/>
        </w:rPr>
        <w:t xml:space="preserve">The Department’s notice soliciting public comment and providing 60 days for that purpose as required by 5 CFR 1320.8 (d) was published in the Federal Register on </w:t>
      </w:r>
      <w:r w:rsidR="00C926E6" w:rsidRPr="00735474">
        <w:rPr>
          <w:sz w:val="24"/>
        </w:rPr>
        <w:t xml:space="preserve">January 22, 2013 </w:t>
      </w:r>
      <w:r w:rsidRPr="00735474">
        <w:rPr>
          <w:sz w:val="24"/>
        </w:rPr>
        <w:t>(</w:t>
      </w:r>
      <w:r w:rsidR="00C926E6" w:rsidRPr="00735474">
        <w:rPr>
          <w:sz w:val="24"/>
        </w:rPr>
        <w:t>78</w:t>
      </w:r>
      <w:r w:rsidRPr="00735474">
        <w:rPr>
          <w:sz w:val="24"/>
        </w:rPr>
        <w:t xml:space="preserve"> FR </w:t>
      </w:r>
      <w:r w:rsidR="00C926E6" w:rsidRPr="00735474">
        <w:rPr>
          <w:sz w:val="24"/>
        </w:rPr>
        <w:t>4458</w:t>
      </w:r>
      <w:r w:rsidRPr="00735474">
        <w:rPr>
          <w:sz w:val="24"/>
        </w:rPr>
        <w:t xml:space="preserve">).  </w:t>
      </w:r>
      <w:r w:rsidR="00E66AA3" w:rsidRPr="00735474">
        <w:rPr>
          <w:sz w:val="24"/>
        </w:rPr>
        <w:t>Seven</w:t>
      </w:r>
      <w:r w:rsidR="008F76E5" w:rsidRPr="00735474">
        <w:rPr>
          <w:sz w:val="24"/>
        </w:rPr>
        <w:t xml:space="preserve"> comments were received.</w:t>
      </w:r>
      <w:r w:rsidR="000C302B" w:rsidRPr="00735474">
        <w:rPr>
          <w:sz w:val="24"/>
        </w:rPr>
        <w:t xml:space="preserve">  As discussed in detail below, t</w:t>
      </w:r>
      <w:r w:rsidR="00D26B43" w:rsidRPr="00735474">
        <w:rPr>
          <w:sz w:val="24"/>
        </w:rPr>
        <w:t>he Department made a variety of changes to the survey, focus group discussion guide, and sample benefit statements in response to comments received</w:t>
      </w:r>
      <w:r w:rsidR="000C302B" w:rsidRPr="00735474">
        <w:rPr>
          <w:sz w:val="24"/>
        </w:rPr>
        <w:t>.</w:t>
      </w:r>
    </w:p>
    <w:p w14:paraId="692C36CC" w14:textId="77777777" w:rsidR="000C302B" w:rsidRPr="00735474" w:rsidRDefault="000C302B" w:rsidP="00571030">
      <w:pPr>
        <w:widowControl/>
        <w:rPr>
          <w:sz w:val="24"/>
        </w:rPr>
      </w:pPr>
    </w:p>
    <w:p w14:paraId="603F1915" w14:textId="77777777" w:rsidR="00315504" w:rsidRPr="00735474" w:rsidRDefault="00315504" w:rsidP="00571030">
      <w:pPr>
        <w:widowControl/>
        <w:rPr>
          <w:b/>
          <w:sz w:val="24"/>
        </w:rPr>
      </w:pPr>
      <w:r w:rsidRPr="00735474">
        <w:rPr>
          <w:b/>
          <w:sz w:val="24"/>
        </w:rPr>
        <w:t>General Comments Regarding Paper vs. Electronic Distribution</w:t>
      </w:r>
    </w:p>
    <w:p w14:paraId="6FB226D3" w14:textId="77777777" w:rsidR="00315504" w:rsidRPr="00735474" w:rsidRDefault="00315504" w:rsidP="00571030">
      <w:pPr>
        <w:widowControl/>
        <w:rPr>
          <w:sz w:val="24"/>
        </w:rPr>
      </w:pPr>
    </w:p>
    <w:p w14:paraId="20885195" w14:textId="77777777" w:rsidR="00315504" w:rsidRPr="00735474" w:rsidRDefault="00315504" w:rsidP="00735474">
      <w:pPr>
        <w:widowControl/>
        <w:rPr>
          <w:sz w:val="24"/>
        </w:rPr>
      </w:pPr>
      <w:r w:rsidRPr="00735474">
        <w:rPr>
          <w:sz w:val="24"/>
        </w:rPr>
        <w:t>Several commenters expressed concern that the Department was showing favoritism toward paper or electronic dissemination in questions posed to survey and focus respondents.  Additionally, the Department received a comment suggesting that the survey include a question concerning participants’ preferences between paper and electronic dissemination and participants’ willingness to pay for paper statements.  In response to these comments, the Department notes that the research objectives of the survey and focus groups center on statement content and design in order to determine whether information contained in sample pension benefit statements can be presented in a way that improves re</w:t>
      </w:r>
      <w:r w:rsidR="00A62247" w:rsidRPr="00735474">
        <w:rPr>
          <w:sz w:val="24"/>
        </w:rPr>
        <w:t>spondents</w:t>
      </w:r>
      <w:r w:rsidRPr="00735474">
        <w:rPr>
          <w:sz w:val="24"/>
        </w:rPr>
        <w:t>’ understanding of the statements and helps them better plan for retirement.  The method of dissemination of benefit statements to participants and beneficiaries is outside of the scope of this research.  As further discussed below, the Department revised the wording of several survey and focus group questions to eliminate any unintended appearances of bias.</w:t>
      </w:r>
    </w:p>
    <w:p w14:paraId="28AE8E62" w14:textId="77777777" w:rsidR="00315504" w:rsidRPr="00735474" w:rsidRDefault="00315504" w:rsidP="00571030">
      <w:pPr>
        <w:widowControl/>
        <w:rPr>
          <w:b/>
          <w:sz w:val="24"/>
        </w:rPr>
      </w:pPr>
    </w:p>
    <w:p w14:paraId="4B99037E" w14:textId="77777777" w:rsidR="00D26B43" w:rsidRPr="00735474" w:rsidRDefault="00D26B43" w:rsidP="00571030">
      <w:pPr>
        <w:widowControl/>
        <w:rPr>
          <w:b/>
          <w:sz w:val="24"/>
        </w:rPr>
      </w:pPr>
      <w:r w:rsidRPr="00735474">
        <w:rPr>
          <w:b/>
          <w:sz w:val="24"/>
        </w:rPr>
        <w:t>Sample Benefit Statements</w:t>
      </w:r>
    </w:p>
    <w:p w14:paraId="4827D3F6" w14:textId="77777777" w:rsidR="00D26B43" w:rsidRPr="00735474" w:rsidRDefault="00D26B43" w:rsidP="00571030">
      <w:pPr>
        <w:widowControl/>
        <w:rPr>
          <w:sz w:val="24"/>
        </w:rPr>
      </w:pPr>
    </w:p>
    <w:p w14:paraId="3AFB6061" w14:textId="38A19F7F" w:rsidR="00D26B43" w:rsidRPr="00735474" w:rsidRDefault="00D26B43" w:rsidP="00735474">
      <w:pPr>
        <w:widowControl/>
        <w:rPr>
          <w:sz w:val="24"/>
        </w:rPr>
      </w:pPr>
      <w:r w:rsidRPr="00735474">
        <w:rPr>
          <w:sz w:val="24"/>
        </w:rPr>
        <w:t xml:space="preserve">Several commenters correctly noted that the sample statements are abstractions and not representative of actual statements.  By design, the sample statements have been simplified to focus attention on the research questions of interest in this study.  </w:t>
      </w:r>
      <w:r w:rsidR="000C302B" w:rsidRPr="00735474">
        <w:rPr>
          <w:sz w:val="24"/>
        </w:rPr>
        <w:t>Before</w:t>
      </w:r>
      <w:r w:rsidRPr="00735474">
        <w:rPr>
          <w:sz w:val="24"/>
        </w:rPr>
        <w:t xml:space="preserve"> receiving the sample statements, all participants will receive a notice stating that the sample statements they will be asked to review are not like the actual statements they currently receive, and that they are much shorter because they are intended t</w:t>
      </w:r>
      <w:r w:rsidR="00735474" w:rsidRPr="00735474">
        <w:rPr>
          <w:sz w:val="24"/>
        </w:rPr>
        <w:t>o focus on specific issues.</w:t>
      </w:r>
    </w:p>
    <w:p w14:paraId="58AD452D" w14:textId="77777777" w:rsidR="00D26B43" w:rsidRPr="00735474" w:rsidRDefault="00D26B43" w:rsidP="00571030">
      <w:pPr>
        <w:widowControl/>
        <w:rPr>
          <w:sz w:val="24"/>
        </w:rPr>
      </w:pPr>
    </w:p>
    <w:p w14:paraId="0A43A452" w14:textId="77777777" w:rsidR="00D26B43" w:rsidRPr="00735474" w:rsidRDefault="00D26B43" w:rsidP="00571030">
      <w:pPr>
        <w:widowControl/>
        <w:rPr>
          <w:b/>
          <w:sz w:val="24"/>
        </w:rPr>
      </w:pPr>
      <w:r w:rsidRPr="00735474">
        <w:rPr>
          <w:b/>
          <w:sz w:val="24"/>
        </w:rPr>
        <w:t>Sample Statement Clarity</w:t>
      </w:r>
    </w:p>
    <w:p w14:paraId="60039084" w14:textId="77777777" w:rsidR="00D26B43" w:rsidRPr="00735474" w:rsidRDefault="00D26B43" w:rsidP="00571030">
      <w:pPr>
        <w:widowControl/>
        <w:rPr>
          <w:sz w:val="24"/>
        </w:rPr>
      </w:pPr>
    </w:p>
    <w:p w14:paraId="03CBF0AC" w14:textId="77777777" w:rsidR="00D26B43" w:rsidRPr="00735474" w:rsidRDefault="00D26B43" w:rsidP="00735474">
      <w:pPr>
        <w:widowControl/>
        <w:rPr>
          <w:sz w:val="24"/>
        </w:rPr>
      </w:pPr>
      <w:r w:rsidRPr="00735474">
        <w:rPr>
          <w:sz w:val="24"/>
        </w:rPr>
        <w:t xml:space="preserve">Commenters disagreed on how much information the sample statements should contain, with some noting that the sample statements are oversimplified, while others noting that they contained too much information and would likely result in confusion.  A specific aim of the study is to examine how providing different amounts of information impacts participant comprehension.  </w:t>
      </w:r>
      <w:r w:rsidR="000C302B" w:rsidRPr="00735474">
        <w:rPr>
          <w:sz w:val="24"/>
        </w:rPr>
        <w:t>The Department has</w:t>
      </w:r>
      <w:r w:rsidRPr="00735474">
        <w:rPr>
          <w:sz w:val="24"/>
        </w:rPr>
        <w:t xml:space="preserve"> attempted to strike a balance between these two concerns and ha</w:t>
      </w:r>
      <w:r w:rsidR="000C302B" w:rsidRPr="00735474">
        <w:rPr>
          <w:sz w:val="24"/>
        </w:rPr>
        <w:t>s</w:t>
      </w:r>
      <w:r w:rsidRPr="00735474">
        <w:rPr>
          <w:sz w:val="24"/>
        </w:rPr>
        <w:t xml:space="preserve"> made the following changes to improve clarity:</w:t>
      </w:r>
    </w:p>
    <w:p w14:paraId="41DCAC5C" w14:textId="77777777" w:rsidR="00D26B43" w:rsidRPr="00735474" w:rsidRDefault="00D26B43" w:rsidP="00571030">
      <w:pPr>
        <w:widowControl/>
        <w:rPr>
          <w:sz w:val="24"/>
        </w:rPr>
      </w:pPr>
    </w:p>
    <w:p w14:paraId="49CD0FE6" w14:textId="77777777" w:rsidR="00D26B43" w:rsidRPr="00735474" w:rsidRDefault="00D26B43" w:rsidP="00571030">
      <w:pPr>
        <w:pStyle w:val="ListParagraph"/>
        <w:numPr>
          <w:ilvl w:val="0"/>
          <w:numId w:val="35"/>
        </w:numPr>
      </w:pPr>
      <w:r w:rsidRPr="00735474">
        <w:lastRenderedPageBreak/>
        <w:t>Changed the title from “Sample Retirement Statement” to “Sample 401(k) Plan” to clarify that the sample statement is for a DC plan</w:t>
      </w:r>
    </w:p>
    <w:p w14:paraId="5AE7D986" w14:textId="77777777" w:rsidR="00D26B43" w:rsidRPr="00735474" w:rsidRDefault="00D26B43" w:rsidP="00571030">
      <w:pPr>
        <w:pStyle w:val="ListParagraph"/>
        <w:numPr>
          <w:ilvl w:val="0"/>
          <w:numId w:val="35"/>
        </w:numPr>
      </w:pPr>
      <w:r w:rsidRPr="00735474">
        <w:t>Specified that the age of the hypothetical plan participant is 40 years old.  Respondents will now be provided this information both prior to reviewing the statements and have it on the statements themselves for reference</w:t>
      </w:r>
    </w:p>
    <w:p w14:paraId="0B90C3E6" w14:textId="77777777" w:rsidR="00D26B43" w:rsidRPr="00735474" w:rsidRDefault="00D26B43" w:rsidP="00571030">
      <w:pPr>
        <w:pStyle w:val="ListParagraph"/>
        <w:numPr>
          <w:ilvl w:val="0"/>
          <w:numId w:val="35"/>
        </w:numPr>
      </w:pPr>
      <w:r w:rsidRPr="00735474">
        <w:t xml:space="preserve">Changed the assumed retirement age to be 65 years old to conform with prevailing norms at many firms </w:t>
      </w:r>
    </w:p>
    <w:p w14:paraId="4BB7F657" w14:textId="77777777" w:rsidR="00D26B43" w:rsidRPr="00735474" w:rsidRDefault="00D26B43" w:rsidP="00571030">
      <w:pPr>
        <w:pStyle w:val="ListParagraph"/>
        <w:numPr>
          <w:ilvl w:val="0"/>
          <w:numId w:val="35"/>
        </w:numPr>
      </w:pPr>
      <w:r w:rsidRPr="00735474">
        <w:t>Changed the hypothetical account balance and contributions to make them more realistic for average American workers</w:t>
      </w:r>
    </w:p>
    <w:p w14:paraId="6B7252C0" w14:textId="77777777" w:rsidR="00D26B43" w:rsidRPr="00735474" w:rsidRDefault="00D26B43" w:rsidP="00571030">
      <w:pPr>
        <w:pStyle w:val="ListParagraph"/>
        <w:numPr>
          <w:ilvl w:val="0"/>
          <w:numId w:val="35"/>
        </w:numPr>
      </w:pPr>
      <w:r w:rsidRPr="00735474">
        <w:t>Placed expenses and losses in parentheses to highlight that they deduct from account balances</w:t>
      </w:r>
    </w:p>
    <w:p w14:paraId="1BDD8637" w14:textId="77777777" w:rsidR="00D26B43" w:rsidRPr="00735474" w:rsidRDefault="00D26B43" w:rsidP="00571030">
      <w:pPr>
        <w:pStyle w:val="ListParagraph"/>
        <w:numPr>
          <w:ilvl w:val="0"/>
          <w:numId w:val="35"/>
        </w:numPr>
      </w:pPr>
      <w:r w:rsidRPr="00735474">
        <w:t>Removed the note regarding life expectancy assumptions as life expectancy is already incorporated in the annuity calculations</w:t>
      </w:r>
    </w:p>
    <w:p w14:paraId="1C72A634" w14:textId="77777777" w:rsidR="00D26B43" w:rsidRPr="00735474" w:rsidRDefault="00D26B43" w:rsidP="00571030">
      <w:pPr>
        <w:pStyle w:val="ListParagraph"/>
        <w:numPr>
          <w:ilvl w:val="0"/>
          <w:numId w:val="35"/>
        </w:numPr>
      </w:pPr>
      <w:r w:rsidRPr="00735474">
        <w:t>Clarified that the assumed rate of return on investments is 4% after adjusting for inflation</w:t>
      </w:r>
    </w:p>
    <w:p w14:paraId="755ED189" w14:textId="77777777" w:rsidR="00D26B43" w:rsidRPr="00735474" w:rsidRDefault="00D26B43" w:rsidP="00571030">
      <w:pPr>
        <w:pStyle w:val="ListParagraph"/>
        <w:numPr>
          <w:ilvl w:val="0"/>
          <w:numId w:val="35"/>
        </w:numPr>
      </w:pPr>
      <w:r w:rsidRPr="00735474">
        <w:t>Clarified that both personal and employer contributions are assumed to increase 3% annually until the retirement age of 65 is reached</w:t>
      </w:r>
    </w:p>
    <w:p w14:paraId="51995AE5" w14:textId="77777777" w:rsidR="00D26B43" w:rsidRPr="00735474" w:rsidRDefault="00D26B43" w:rsidP="00571030">
      <w:pPr>
        <w:pStyle w:val="ListParagraph"/>
        <w:numPr>
          <w:ilvl w:val="0"/>
          <w:numId w:val="35"/>
        </w:numPr>
      </w:pPr>
      <w:r w:rsidRPr="00735474">
        <w:t>Removed the link to the hypothetical lifetime income calculator</w:t>
      </w:r>
    </w:p>
    <w:p w14:paraId="0340F337" w14:textId="77777777" w:rsidR="00D26B43" w:rsidRPr="00735474" w:rsidRDefault="00D26B43" w:rsidP="00571030">
      <w:pPr>
        <w:pStyle w:val="ListParagraph"/>
        <w:numPr>
          <w:ilvl w:val="0"/>
          <w:numId w:val="35"/>
        </w:numPr>
      </w:pPr>
      <w:r w:rsidRPr="00735474">
        <w:t>Clarified explanation of fees and expenses to ensure consistency with 404(a)(5) rule</w:t>
      </w:r>
    </w:p>
    <w:p w14:paraId="6DBF274C" w14:textId="284473C0" w:rsidR="00735474" w:rsidRDefault="00735474" w:rsidP="00735474">
      <w:pPr>
        <w:rPr>
          <w:sz w:val="24"/>
        </w:rPr>
      </w:pPr>
      <w:r>
        <w:rPr>
          <w:sz w:val="24"/>
        </w:rPr>
        <w:br w:type="page"/>
      </w:r>
    </w:p>
    <w:p w14:paraId="59536FCB" w14:textId="77777777" w:rsidR="00D26B43" w:rsidRPr="00735474" w:rsidRDefault="00D26B43" w:rsidP="00571030">
      <w:pPr>
        <w:widowControl/>
        <w:rPr>
          <w:b/>
          <w:sz w:val="24"/>
        </w:rPr>
      </w:pPr>
      <w:r w:rsidRPr="00735474">
        <w:rPr>
          <w:b/>
          <w:sz w:val="24"/>
        </w:rPr>
        <w:t>Projections</w:t>
      </w:r>
    </w:p>
    <w:p w14:paraId="70F49FC7" w14:textId="77777777" w:rsidR="00D26B43" w:rsidRPr="00735474" w:rsidRDefault="00D26B43" w:rsidP="00571030">
      <w:pPr>
        <w:widowControl/>
        <w:rPr>
          <w:sz w:val="24"/>
        </w:rPr>
      </w:pPr>
    </w:p>
    <w:p w14:paraId="73A277BF" w14:textId="34CF76E5" w:rsidR="00D26B43" w:rsidRPr="00735474" w:rsidRDefault="00B4035B" w:rsidP="00735474">
      <w:pPr>
        <w:widowControl/>
        <w:rPr>
          <w:sz w:val="24"/>
        </w:rPr>
      </w:pPr>
      <w:r w:rsidRPr="00735474">
        <w:rPr>
          <w:sz w:val="24"/>
        </w:rPr>
        <w:t xml:space="preserve">A commenter stated that any sample statements referencing income illustrations of a participant’s account balance should be clear. For example, some plans currently use an account drawdown method to illustrate income after retirement. The commenter suggested that perhaps projections could be shown in a variety of formats, with explanations, so that survey participants could comment on the various methods. This approach could also avoid confusion between assumptions and guarantees, as applicable. In </w:t>
      </w:r>
      <w:proofErr w:type="spellStart"/>
      <w:r w:rsidRPr="00735474">
        <w:rPr>
          <w:sz w:val="24"/>
        </w:rPr>
        <w:t>reponsonse</w:t>
      </w:r>
      <w:proofErr w:type="spellEnd"/>
      <w:r w:rsidRPr="00735474">
        <w:rPr>
          <w:sz w:val="24"/>
        </w:rPr>
        <w:t>, t</w:t>
      </w:r>
      <w:r w:rsidR="00D26B43" w:rsidRPr="00735474">
        <w:rPr>
          <w:sz w:val="24"/>
        </w:rPr>
        <w:t xml:space="preserve">he </w:t>
      </w:r>
      <w:r w:rsidRPr="00735474">
        <w:rPr>
          <w:sz w:val="24"/>
        </w:rPr>
        <w:t xml:space="preserve">Department notes that the </w:t>
      </w:r>
      <w:r w:rsidR="00D26B43" w:rsidRPr="00735474">
        <w:rPr>
          <w:sz w:val="24"/>
        </w:rPr>
        <w:t xml:space="preserve">central focus of the study is to examine how providing projections of monthly income in retirement influences participants’ intended retirement behavior and what participants understand about these projections.  The Department believes that guaranteed income for life is a key component of a secure retirement, and therefore the projected monthly income on a retirement statement should reflect the ability to purchase lifetime income rather than a systematic withdrawal strategy or other non-lifetime-income strategy.  Testing the Department’s belief would require following individuals through their lifecycle, including both the accumulation and </w:t>
      </w:r>
      <w:proofErr w:type="spellStart"/>
      <w:r w:rsidR="00D26B43" w:rsidRPr="00735474">
        <w:rPr>
          <w:sz w:val="24"/>
        </w:rPr>
        <w:t>decumulation</w:t>
      </w:r>
      <w:proofErr w:type="spellEnd"/>
      <w:r w:rsidR="00D26B43" w:rsidRPr="00735474">
        <w:rPr>
          <w:sz w:val="24"/>
        </w:rPr>
        <w:t xml:space="preserve"> phase, and is clearly beyond the scope of this study.</w:t>
      </w:r>
    </w:p>
    <w:p w14:paraId="3AD8CE4D" w14:textId="77777777" w:rsidR="00D26B43" w:rsidRPr="00735474" w:rsidRDefault="00D26B43" w:rsidP="00571030">
      <w:pPr>
        <w:widowControl/>
        <w:rPr>
          <w:sz w:val="24"/>
        </w:rPr>
      </w:pPr>
    </w:p>
    <w:p w14:paraId="2A6F39D0" w14:textId="77777777" w:rsidR="00D26B43" w:rsidRPr="00735474" w:rsidRDefault="00D26B43" w:rsidP="00735474">
      <w:pPr>
        <w:widowControl/>
        <w:rPr>
          <w:sz w:val="24"/>
        </w:rPr>
      </w:pPr>
      <w:r w:rsidRPr="00735474">
        <w:rPr>
          <w:sz w:val="24"/>
        </w:rPr>
        <w:t>In response to the comments</w:t>
      </w:r>
      <w:r w:rsidR="000C302B" w:rsidRPr="00735474">
        <w:rPr>
          <w:sz w:val="24"/>
        </w:rPr>
        <w:t xml:space="preserve"> </w:t>
      </w:r>
      <w:r w:rsidRPr="00735474">
        <w:rPr>
          <w:sz w:val="24"/>
        </w:rPr>
        <w:t xml:space="preserve">received, </w:t>
      </w:r>
      <w:r w:rsidR="000C302B" w:rsidRPr="00735474">
        <w:rPr>
          <w:sz w:val="24"/>
        </w:rPr>
        <w:t>the Department has</w:t>
      </w:r>
      <w:r w:rsidRPr="00735474">
        <w:rPr>
          <w:sz w:val="24"/>
        </w:rPr>
        <w:t xml:space="preserve"> </w:t>
      </w:r>
      <w:r w:rsidR="000C302B" w:rsidRPr="00735474">
        <w:rPr>
          <w:sz w:val="24"/>
        </w:rPr>
        <w:t>made</w:t>
      </w:r>
      <w:r w:rsidRPr="00735474">
        <w:rPr>
          <w:sz w:val="24"/>
        </w:rPr>
        <w:t xml:space="preserve"> the following changes in an attempt to improve participant comprehension:  </w:t>
      </w:r>
    </w:p>
    <w:p w14:paraId="0809B23D" w14:textId="77777777" w:rsidR="00D26B43" w:rsidRPr="00735474" w:rsidRDefault="00D26B43" w:rsidP="00571030">
      <w:pPr>
        <w:widowControl/>
        <w:rPr>
          <w:sz w:val="24"/>
        </w:rPr>
      </w:pPr>
    </w:p>
    <w:p w14:paraId="7707812F" w14:textId="77777777" w:rsidR="00D26B43" w:rsidRPr="00735474" w:rsidRDefault="00D26B43" w:rsidP="00571030">
      <w:pPr>
        <w:pStyle w:val="ListParagraph"/>
        <w:numPr>
          <w:ilvl w:val="0"/>
          <w:numId w:val="35"/>
        </w:numPr>
      </w:pPr>
      <w:r w:rsidRPr="00735474">
        <w:t>Added caveated language to clarify that monthly income projections are expectations and not guarantees</w:t>
      </w:r>
    </w:p>
    <w:p w14:paraId="75F3DCA9" w14:textId="77777777" w:rsidR="00D26B43" w:rsidRPr="00735474" w:rsidRDefault="00D26B43" w:rsidP="00571030">
      <w:pPr>
        <w:pStyle w:val="ListParagraph"/>
        <w:numPr>
          <w:ilvl w:val="0"/>
          <w:numId w:val="35"/>
        </w:numPr>
      </w:pPr>
      <w:r w:rsidRPr="00735474">
        <w:lastRenderedPageBreak/>
        <w:t>Noted that Monthly Income after Retirement estimated for Current Account Value assumes investment return will equal inflation until retirement and that no additional contributions will be made</w:t>
      </w:r>
    </w:p>
    <w:p w14:paraId="27653183" w14:textId="77777777" w:rsidR="00D26B43" w:rsidRPr="00735474" w:rsidRDefault="00D26B43" w:rsidP="00571030">
      <w:pPr>
        <w:pStyle w:val="ListParagraph"/>
        <w:numPr>
          <w:ilvl w:val="0"/>
          <w:numId w:val="35"/>
        </w:numPr>
      </w:pPr>
      <w:r w:rsidRPr="00735474">
        <w:t>Replaced years until retirement with age at retirement when demonstrating how projected monthly income varies with retirement age for all statements</w:t>
      </w:r>
    </w:p>
    <w:p w14:paraId="70293AA4" w14:textId="77777777" w:rsidR="00D26B43" w:rsidRPr="00735474" w:rsidRDefault="00D26B43" w:rsidP="00571030">
      <w:pPr>
        <w:pStyle w:val="ListParagraph"/>
        <w:numPr>
          <w:ilvl w:val="0"/>
          <w:numId w:val="35"/>
        </w:numPr>
      </w:pPr>
      <w:r w:rsidRPr="00735474">
        <w:t>In Version 3, we changed to vertical axis so that the charts show change in monthly retirement income</w:t>
      </w:r>
    </w:p>
    <w:p w14:paraId="78BB8D6D" w14:textId="77777777" w:rsidR="005C4B31" w:rsidRPr="00735474" w:rsidRDefault="005C4B31" w:rsidP="00571030">
      <w:pPr>
        <w:widowControl/>
        <w:rPr>
          <w:b/>
          <w:sz w:val="24"/>
        </w:rPr>
      </w:pPr>
    </w:p>
    <w:p w14:paraId="4E2D8582" w14:textId="77777777" w:rsidR="00D26B43" w:rsidRPr="00735474" w:rsidRDefault="00D26B43" w:rsidP="00571030">
      <w:pPr>
        <w:widowControl/>
        <w:rPr>
          <w:b/>
          <w:sz w:val="24"/>
        </w:rPr>
      </w:pPr>
      <w:r w:rsidRPr="00735474">
        <w:rPr>
          <w:b/>
          <w:sz w:val="24"/>
        </w:rPr>
        <w:t>Focus Group Discussion Guide</w:t>
      </w:r>
    </w:p>
    <w:p w14:paraId="4367B042" w14:textId="77777777" w:rsidR="00D26B43" w:rsidRPr="00735474" w:rsidRDefault="00D26B43" w:rsidP="00571030">
      <w:pPr>
        <w:widowControl/>
        <w:rPr>
          <w:b/>
          <w:sz w:val="24"/>
        </w:rPr>
      </w:pPr>
    </w:p>
    <w:p w14:paraId="7BE19A42" w14:textId="77777777" w:rsidR="00D26B43" w:rsidRPr="00735474" w:rsidRDefault="00F109B6" w:rsidP="00735474">
      <w:pPr>
        <w:widowControl/>
        <w:rPr>
          <w:sz w:val="24"/>
        </w:rPr>
      </w:pPr>
      <w:r w:rsidRPr="00735474">
        <w:rPr>
          <w:sz w:val="24"/>
        </w:rPr>
        <w:t>The Department received several comments indicating that the questions are written in a way that appears to assume that everyone gets and uses paper benefit statements.  In response to this comment, the Department notes that t</w:t>
      </w:r>
      <w:r w:rsidR="00D26B43" w:rsidRPr="00735474">
        <w:rPr>
          <w:sz w:val="24"/>
        </w:rPr>
        <w:t xml:space="preserve">he purpose of the study is to test how to best present projected account balances and monthly retirement income on fixed (i.e., non-interactive) statements, and so the focus of the focus groups is indeed on fixed statements. </w:t>
      </w:r>
      <w:r w:rsidR="00337826" w:rsidRPr="00735474">
        <w:rPr>
          <w:sz w:val="24"/>
        </w:rPr>
        <w:t xml:space="preserve"> </w:t>
      </w:r>
      <w:r w:rsidR="00D26B43" w:rsidRPr="00735474">
        <w:rPr>
          <w:sz w:val="24"/>
        </w:rPr>
        <w:t xml:space="preserve">However, </w:t>
      </w:r>
      <w:r w:rsidR="000C302B" w:rsidRPr="00735474">
        <w:rPr>
          <w:sz w:val="24"/>
        </w:rPr>
        <w:t xml:space="preserve">the Department </w:t>
      </w:r>
      <w:r w:rsidR="00D26B43" w:rsidRPr="00735474">
        <w:rPr>
          <w:sz w:val="24"/>
        </w:rPr>
        <w:t>recognize</w:t>
      </w:r>
      <w:r w:rsidR="000C302B" w:rsidRPr="00735474">
        <w:rPr>
          <w:sz w:val="24"/>
        </w:rPr>
        <w:t>s</w:t>
      </w:r>
      <w:r w:rsidR="00D26B43" w:rsidRPr="00735474">
        <w:rPr>
          <w:sz w:val="24"/>
        </w:rPr>
        <w:t xml:space="preserve"> that given the prevalence of internet usage, that many people use online tools in addition to, or instead of, fixed statements. </w:t>
      </w:r>
      <w:r w:rsidR="005C2428" w:rsidRPr="00735474">
        <w:rPr>
          <w:sz w:val="24"/>
        </w:rPr>
        <w:t xml:space="preserve"> </w:t>
      </w:r>
      <w:r w:rsidR="00D26B43" w:rsidRPr="00735474">
        <w:rPr>
          <w:sz w:val="24"/>
        </w:rPr>
        <w:t>Thus, focus group discussion about online access is meant to gauge and control for usage of online statements and tools.</w:t>
      </w:r>
    </w:p>
    <w:p w14:paraId="18E7BE5B" w14:textId="77777777" w:rsidR="00D26B43" w:rsidRPr="00735474" w:rsidRDefault="00D26B43" w:rsidP="00571030">
      <w:pPr>
        <w:widowControl/>
        <w:rPr>
          <w:sz w:val="24"/>
        </w:rPr>
      </w:pPr>
    </w:p>
    <w:p w14:paraId="0D7E5D96" w14:textId="0D0BC5AC" w:rsidR="00D26B43" w:rsidRPr="00735474" w:rsidRDefault="00D26B43" w:rsidP="00735474">
      <w:pPr>
        <w:widowControl/>
        <w:rPr>
          <w:sz w:val="24"/>
        </w:rPr>
      </w:pPr>
      <w:r w:rsidRPr="00735474">
        <w:rPr>
          <w:sz w:val="24"/>
        </w:rPr>
        <w:t>In the recruitment process, participants are restricted to individuals who are currently employed and who have an employer-sponsore</w:t>
      </w:r>
      <w:r w:rsidR="00735474">
        <w:rPr>
          <w:sz w:val="24"/>
        </w:rPr>
        <w:t>d defined contribution account.</w:t>
      </w:r>
    </w:p>
    <w:p w14:paraId="43D903A2" w14:textId="77777777" w:rsidR="00D26B43" w:rsidRPr="00735474" w:rsidRDefault="00D26B43" w:rsidP="00571030">
      <w:pPr>
        <w:widowControl/>
        <w:rPr>
          <w:sz w:val="24"/>
        </w:rPr>
      </w:pPr>
    </w:p>
    <w:p w14:paraId="776D23E8" w14:textId="77777777" w:rsidR="00D26B43" w:rsidRPr="00735474" w:rsidRDefault="00D26B43" w:rsidP="00735474">
      <w:pPr>
        <w:widowControl/>
        <w:rPr>
          <w:sz w:val="24"/>
        </w:rPr>
      </w:pPr>
      <w:r w:rsidRPr="00735474">
        <w:rPr>
          <w:sz w:val="24"/>
        </w:rPr>
        <w:t xml:space="preserve">In response to the comments received, </w:t>
      </w:r>
      <w:r w:rsidR="000C302B" w:rsidRPr="00735474">
        <w:rPr>
          <w:sz w:val="24"/>
        </w:rPr>
        <w:t xml:space="preserve">the Department has made </w:t>
      </w:r>
      <w:r w:rsidRPr="00735474">
        <w:rPr>
          <w:sz w:val="24"/>
        </w:rPr>
        <w:t>the following changes:</w:t>
      </w:r>
    </w:p>
    <w:p w14:paraId="3107751E" w14:textId="77777777" w:rsidR="00D26B43" w:rsidRPr="00735474" w:rsidRDefault="00D26B43" w:rsidP="00571030">
      <w:pPr>
        <w:pStyle w:val="ListParagraph"/>
      </w:pPr>
    </w:p>
    <w:p w14:paraId="0624C0DD" w14:textId="77777777" w:rsidR="00D26B43" w:rsidRPr="00735474" w:rsidRDefault="00D26B43" w:rsidP="00571030">
      <w:pPr>
        <w:pStyle w:val="ListParagraph"/>
        <w:numPr>
          <w:ilvl w:val="0"/>
          <w:numId w:val="36"/>
        </w:numPr>
      </w:pPr>
      <w:r w:rsidRPr="00735474">
        <w:t>In the Introduction section, we changed “We are holding these discussion so that we will have a better understanding of how people make retirement savings decisions,” to “…so that we will have a better understanding of how people understand their quarterly retirement statements”</w:t>
      </w:r>
    </w:p>
    <w:p w14:paraId="4B07A445" w14:textId="77777777" w:rsidR="00D26B43" w:rsidRPr="00735474" w:rsidRDefault="00D26B43" w:rsidP="00571030">
      <w:pPr>
        <w:pStyle w:val="ListParagraph"/>
        <w:numPr>
          <w:ilvl w:val="0"/>
          <w:numId w:val="36"/>
        </w:numPr>
      </w:pPr>
      <w:r w:rsidRPr="00735474">
        <w:t xml:space="preserve">On page 3, we changed “For the purpose of tonight’s discussion, we want to focus only on saving for retirement,” to “…we would like to focus on your “Defined Contribution” retirement plan. </w:t>
      </w:r>
      <w:r w:rsidR="005C2428" w:rsidRPr="00735474">
        <w:t xml:space="preserve"> </w:t>
      </w:r>
      <w:r w:rsidRPr="00735474">
        <w:t>A DC plan is a plan such as a 401(k) or 403(b) that you get through your employer, but you make your own investment decisions.”</w:t>
      </w:r>
    </w:p>
    <w:p w14:paraId="7F35B791" w14:textId="77777777" w:rsidR="00D26B43" w:rsidRPr="00735474" w:rsidRDefault="00D26B43" w:rsidP="00571030">
      <w:pPr>
        <w:pStyle w:val="ListParagraph"/>
        <w:numPr>
          <w:ilvl w:val="0"/>
          <w:numId w:val="36"/>
        </w:numPr>
      </w:pPr>
      <w:r w:rsidRPr="00735474">
        <w:t xml:space="preserve">To clarify what is meant by ‘Statement of Benefits’ we replaced the phrase “statement of benefits” with “retirement account statement” (or sometimes “retirement statement” for brevity) </w:t>
      </w:r>
    </w:p>
    <w:p w14:paraId="4AD020F9" w14:textId="77777777" w:rsidR="00D26B43" w:rsidRPr="00735474" w:rsidRDefault="00D26B43" w:rsidP="00571030">
      <w:pPr>
        <w:pStyle w:val="ListParagraph"/>
        <w:numPr>
          <w:ilvl w:val="0"/>
          <w:numId w:val="36"/>
        </w:numPr>
      </w:pPr>
      <w:r w:rsidRPr="00735474">
        <w:t>We allow that participants may receive statements through the mail or online and have added the following language in the introduction, “These are the paper statements that you may receive in the mail, or the statements that you can access through your retirement plan provider’s website</w:t>
      </w:r>
      <w:r w:rsidR="0059665D" w:rsidRPr="00735474">
        <w:t xml:space="preserve">.  </w:t>
      </w:r>
      <w:r w:rsidRPr="00735474">
        <w:t>These statements describe the activity of your retirement saving account, such as a 401(k) or 403(b)</w:t>
      </w:r>
      <w:r w:rsidR="0059665D" w:rsidRPr="00735474">
        <w:t xml:space="preserve">.  </w:t>
      </w:r>
      <w:r w:rsidRPr="00735474">
        <w:t xml:space="preserve">For the remainder of this </w:t>
      </w:r>
      <w:r w:rsidRPr="00735474">
        <w:lastRenderedPageBreak/>
        <w:t xml:space="preserve">discussion, we will refer to these as ‘Retirement account statements’ or ‘retirement statements’ for short”  </w:t>
      </w:r>
    </w:p>
    <w:p w14:paraId="2D8DCE7E" w14:textId="77777777" w:rsidR="00D26B43" w:rsidRPr="00735474" w:rsidRDefault="00D26B43" w:rsidP="00571030">
      <w:pPr>
        <w:pStyle w:val="ListParagraph"/>
        <w:numPr>
          <w:ilvl w:val="0"/>
          <w:numId w:val="36"/>
        </w:numPr>
      </w:pPr>
      <w:r w:rsidRPr="00735474">
        <w:t>Made revisions to the ‘General Discussion of Assumptions’ section of the discussion guide based on feedback from Olivia Mitchell.</w:t>
      </w:r>
    </w:p>
    <w:p w14:paraId="3437900A" w14:textId="77777777" w:rsidR="00D26B43" w:rsidRPr="00735474" w:rsidRDefault="00D26B43" w:rsidP="00571030">
      <w:pPr>
        <w:pStyle w:val="ListParagraph"/>
        <w:numPr>
          <w:ilvl w:val="0"/>
          <w:numId w:val="36"/>
        </w:numPr>
      </w:pPr>
      <w:r w:rsidRPr="00735474">
        <w:t>Clarifications that the focus group discussion should primarily focus on:</w:t>
      </w:r>
    </w:p>
    <w:p w14:paraId="529DA86C" w14:textId="77777777" w:rsidR="00D26B43" w:rsidRPr="00735474" w:rsidRDefault="00D26B43" w:rsidP="00571030">
      <w:pPr>
        <w:pStyle w:val="ListParagraph"/>
        <w:numPr>
          <w:ilvl w:val="1"/>
          <w:numId w:val="36"/>
        </w:numPr>
      </w:pPr>
      <w:r w:rsidRPr="00735474">
        <w:t>Fixed (not interactive) statements, unless otherwise noted</w:t>
      </w:r>
    </w:p>
    <w:p w14:paraId="05531A71" w14:textId="77777777" w:rsidR="00D26B43" w:rsidRPr="00735474" w:rsidRDefault="00D26B43" w:rsidP="00571030">
      <w:pPr>
        <w:pStyle w:val="ListParagraph"/>
        <w:numPr>
          <w:ilvl w:val="1"/>
          <w:numId w:val="36"/>
        </w:numPr>
      </w:pPr>
      <w:r w:rsidRPr="00735474">
        <w:t>Defined Contribution statements, unless otherwise notes</w:t>
      </w:r>
    </w:p>
    <w:p w14:paraId="602A2768" w14:textId="77777777" w:rsidR="00D26B43" w:rsidRPr="00735474" w:rsidRDefault="00D26B43" w:rsidP="00571030">
      <w:pPr>
        <w:pStyle w:val="ListParagraph"/>
        <w:numPr>
          <w:ilvl w:val="0"/>
          <w:numId w:val="36"/>
        </w:numPr>
      </w:pPr>
      <w:r w:rsidRPr="00735474">
        <w:t>Added questions to test whether a higher or lower income changes participants’ answers to behavior-related questions.</w:t>
      </w:r>
    </w:p>
    <w:p w14:paraId="4C36B020" w14:textId="77777777" w:rsidR="00D26B43" w:rsidRPr="00735474" w:rsidRDefault="00D26B43" w:rsidP="00571030">
      <w:pPr>
        <w:pStyle w:val="ListParagraph"/>
        <w:numPr>
          <w:ilvl w:val="0"/>
          <w:numId w:val="36"/>
        </w:numPr>
      </w:pPr>
      <w:r w:rsidRPr="00735474">
        <w:t xml:space="preserve">Additional questions to gauge participants’ understanding of the need to list assumptions and the large impact the chosen values may have on projections. </w:t>
      </w:r>
    </w:p>
    <w:p w14:paraId="690F9251" w14:textId="77777777" w:rsidR="00D26B43" w:rsidRPr="00735474" w:rsidRDefault="00D26B43" w:rsidP="00571030">
      <w:pPr>
        <w:pStyle w:val="ListParagraph"/>
        <w:numPr>
          <w:ilvl w:val="0"/>
          <w:numId w:val="36"/>
        </w:numPr>
      </w:pPr>
      <w:r w:rsidRPr="00735474">
        <w:t>Added in questions to Retirement Goals section that acknowledges that retirement savings goals and thinking about retirement may change as someone gets older.</w:t>
      </w:r>
    </w:p>
    <w:p w14:paraId="156D0D56" w14:textId="77777777" w:rsidR="00D26B43" w:rsidRPr="00735474" w:rsidRDefault="00D26B43" w:rsidP="00571030">
      <w:pPr>
        <w:widowControl/>
        <w:rPr>
          <w:b/>
          <w:sz w:val="24"/>
        </w:rPr>
      </w:pPr>
    </w:p>
    <w:p w14:paraId="13A562E7" w14:textId="77777777" w:rsidR="00D26B43" w:rsidRPr="00735474" w:rsidRDefault="00D26B43" w:rsidP="00571030">
      <w:pPr>
        <w:widowControl/>
        <w:rPr>
          <w:b/>
          <w:sz w:val="24"/>
        </w:rPr>
      </w:pPr>
      <w:r w:rsidRPr="00735474">
        <w:rPr>
          <w:b/>
          <w:sz w:val="24"/>
        </w:rPr>
        <w:t>Survey Instrument</w:t>
      </w:r>
    </w:p>
    <w:p w14:paraId="4ACFF668" w14:textId="77777777" w:rsidR="00D26B43" w:rsidRPr="00735474" w:rsidRDefault="00D26B43" w:rsidP="00571030">
      <w:pPr>
        <w:widowControl/>
        <w:rPr>
          <w:sz w:val="24"/>
        </w:rPr>
      </w:pPr>
    </w:p>
    <w:p w14:paraId="272CE05B" w14:textId="77777777" w:rsidR="00D26B43" w:rsidRPr="00735474" w:rsidRDefault="00E15867" w:rsidP="00571030">
      <w:pPr>
        <w:widowControl/>
        <w:rPr>
          <w:sz w:val="24"/>
        </w:rPr>
      </w:pPr>
      <w:r w:rsidRPr="00735474">
        <w:rPr>
          <w:sz w:val="24"/>
        </w:rPr>
        <w:t xml:space="preserve">The Department received comments that respondents should be able to provide contribution amounts as a dollar amount or percentage, allow for the possibility that respondents have multiple DC accounts, clarify what is meant by statement of benefits and that statements </w:t>
      </w:r>
      <w:r w:rsidR="00D26B43" w:rsidRPr="00735474">
        <w:rPr>
          <w:sz w:val="24"/>
        </w:rPr>
        <w:t xml:space="preserve">In response to the comments received, </w:t>
      </w:r>
      <w:r w:rsidR="000C302B" w:rsidRPr="00735474">
        <w:rPr>
          <w:sz w:val="24"/>
        </w:rPr>
        <w:t>that Department has made</w:t>
      </w:r>
      <w:r w:rsidR="00D26B43" w:rsidRPr="00735474">
        <w:rPr>
          <w:sz w:val="24"/>
        </w:rPr>
        <w:t xml:space="preserve"> the following changes:</w:t>
      </w:r>
    </w:p>
    <w:p w14:paraId="7FA7BE19" w14:textId="77777777" w:rsidR="00D26B43" w:rsidRPr="00735474" w:rsidRDefault="00D26B43" w:rsidP="00571030">
      <w:pPr>
        <w:pStyle w:val="ListParagraph"/>
      </w:pPr>
    </w:p>
    <w:p w14:paraId="6134CA61" w14:textId="77777777" w:rsidR="00D26B43" w:rsidRPr="00735474" w:rsidRDefault="00D26B43" w:rsidP="00571030">
      <w:pPr>
        <w:pStyle w:val="ListParagraph"/>
        <w:numPr>
          <w:ilvl w:val="0"/>
          <w:numId w:val="36"/>
        </w:numPr>
      </w:pPr>
      <w:r w:rsidRPr="00735474">
        <w:t xml:space="preserve">Allowed respondents to give contribution amounts in Q3 as percentage or dollar amount, with flexibility on the frequency </w:t>
      </w:r>
    </w:p>
    <w:p w14:paraId="4144CA79" w14:textId="77777777" w:rsidR="00D26B43" w:rsidRPr="00735474" w:rsidRDefault="00D26B43" w:rsidP="00571030">
      <w:pPr>
        <w:pStyle w:val="ListParagraph"/>
        <w:numPr>
          <w:ilvl w:val="0"/>
          <w:numId w:val="36"/>
        </w:numPr>
      </w:pPr>
      <w:r w:rsidRPr="00735474">
        <w:t>Allowed for possibility that respondents may have multiple DC accounts in Q4 and Q5</w:t>
      </w:r>
    </w:p>
    <w:p w14:paraId="071858A1" w14:textId="77777777" w:rsidR="00D26B43" w:rsidRPr="00735474" w:rsidRDefault="00D26B43" w:rsidP="00571030">
      <w:pPr>
        <w:pStyle w:val="ListParagraph"/>
        <w:numPr>
          <w:ilvl w:val="0"/>
          <w:numId w:val="36"/>
        </w:numPr>
      </w:pPr>
      <w:r w:rsidRPr="00735474">
        <w:t>Rewrote the retirement age expectation questions, now Q6-Q11</w:t>
      </w:r>
    </w:p>
    <w:p w14:paraId="4C0CD5B4" w14:textId="77777777" w:rsidR="00D26B43" w:rsidRPr="00735474" w:rsidRDefault="00D26B43" w:rsidP="00571030">
      <w:pPr>
        <w:pStyle w:val="ListParagraph"/>
        <w:numPr>
          <w:ilvl w:val="0"/>
          <w:numId w:val="36"/>
        </w:numPr>
      </w:pPr>
      <w:r w:rsidRPr="00735474">
        <w:t xml:space="preserve">To clarify what is meant by ‘Statement of Benefits’ we replaced the phrase “statement of benefits” with “retirement account statement” (or sometimes “retirement statement” for brevity) </w:t>
      </w:r>
    </w:p>
    <w:p w14:paraId="236F4398" w14:textId="77777777" w:rsidR="00D26B43" w:rsidRPr="00735474" w:rsidRDefault="00D26B43" w:rsidP="00571030">
      <w:pPr>
        <w:pStyle w:val="ListParagraph"/>
        <w:numPr>
          <w:ilvl w:val="0"/>
          <w:numId w:val="36"/>
        </w:numPr>
      </w:pPr>
      <w:r w:rsidRPr="00735474">
        <w:t>In Q15, clarified that statements can be paper or online: “When is the last time you reviewed your statements from your employer-sponsored retirement plan</w:t>
      </w:r>
      <w:r w:rsidR="0059665D" w:rsidRPr="00735474">
        <w:t xml:space="preserve">.  </w:t>
      </w:r>
      <w:r w:rsidRPr="00735474">
        <w:t>These are the paper statements that you may receive in the mail, or the statements that you can access through your retirement plan provider’s website, and describe the activity of your employer-sponsored retirement saving account, such as a 401(k) or 403(b).”</w:t>
      </w:r>
    </w:p>
    <w:p w14:paraId="7E80D297" w14:textId="77777777" w:rsidR="00D26B43" w:rsidRPr="00735474" w:rsidRDefault="00D26B43" w:rsidP="00571030">
      <w:pPr>
        <w:widowControl/>
        <w:rPr>
          <w:sz w:val="24"/>
        </w:rPr>
      </w:pPr>
    </w:p>
    <w:p w14:paraId="2F1BE9C9" w14:textId="77777777" w:rsidR="00D26B43" w:rsidRPr="00735474" w:rsidRDefault="000C302B" w:rsidP="00571030">
      <w:pPr>
        <w:widowControl/>
        <w:rPr>
          <w:sz w:val="24"/>
          <w:highlight w:val="yellow"/>
        </w:rPr>
      </w:pPr>
      <w:r w:rsidRPr="00735474">
        <w:rPr>
          <w:sz w:val="24"/>
        </w:rPr>
        <w:t>The Department also m</w:t>
      </w:r>
      <w:r w:rsidR="00D26B43" w:rsidRPr="00735474">
        <w:rPr>
          <w:sz w:val="24"/>
        </w:rPr>
        <w:t>ade additional minor changes as suggested by the commenters to clarify questions and make them less confusing.</w:t>
      </w:r>
    </w:p>
    <w:p w14:paraId="5CE49278" w14:textId="77777777" w:rsidR="008D673B" w:rsidRPr="00735474" w:rsidRDefault="008D673B" w:rsidP="00571030">
      <w:pPr>
        <w:widowControl/>
        <w:rPr>
          <w:sz w:val="24"/>
        </w:rPr>
      </w:pPr>
    </w:p>
    <w:p w14:paraId="47D3E640" w14:textId="77777777" w:rsidR="00423E86" w:rsidRPr="00735474" w:rsidRDefault="00423E86" w:rsidP="00571030">
      <w:pPr>
        <w:pStyle w:val="Quick1"/>
        <w:widowControl/>
        <w:rPr>
          <w:sz w:val="24"/>
        </w:rPr>
      </w:pPr>
      <w:r w:rsidRPr="00735474">
        <w:rPr>
          <w:sz w:val="24"/>
        </w:rPr>
        <w:t>Explain any decision to provide any payment or gift to respondents, other than remuneration of contractors or grantees.</w:t>
      </w:r>
    </w:p>
    <w:p w14:paraId="27350B3B" w14:textId="77777777" w:rsidR="00423E86" w:rsidRPr="00735474" w:rsidRDefault="00423E86" w:rsidP="00571030">
      <w:pPr>
        <w:widowControl/>
        <w:rPr>
          <w:sz w:val="24"/>
        </w:rPr>
      </w:pPr>
    </w:p>
    <w:p w14:paraId="38FC9214" w14:textId="77777777" w:rsidR="008D673B" w:rsidRPr="00735474" w:rsidRDefault="008D673B" w:rsidP="00735474">
      <w:pPr>
        <w:widowControl/>
        <w:rPr>
          <w:color w:val="000000"/>
          <w:sz w:val="24"/>
        </w:rPr>
      </w:pPr>
      <w:r w:rsidRPr="00735474">
        <w:rPr>
          <w:color w:val="000000"/>
          <w:sz w:val="24"/>
        </w:rPr>
        <w:lastRenderedPageBreak/>
        <w:t>Respondents to this ALP receive payment as part of their regular participation</w:t>
      </w:r>
      <w:r w:rsidR="0059665D" w:rsidRPr="00735474">
        <w:rPr>
          <w:color w:val="000000"/>
          <w:sz w:val="24"/>
        </w:rPr>
        <w:t xml:space="preserve">.  </w:t>
      </w:r>
      <w:r w:rsidRPr="00735474">
        <w:rPr>
          <w:color w:val="000000"/>
          <w:sz w:val="24"/>
        </w:rPr>
        <w:t>For this survey, respondents will receive</w:t>
      </w:r>
      <w:r w:rsidR="0062369F" w:rsidRPr="00735474">
        <w:rPr>
          <w:color w:val="000000"/>
          <w:sz w:val="24"/>
        </w:rPr>
        <w:t xml:space="preserve"> $20.</w:t>
      </w:r>
      <w:r w:rsidR="008C55D0" w:rsidRPr="00735474">
        <w:rPr>
          <w:color w:val="000000"/>
          <w:sz w:val="24"/>
        </w:rPr>
        <w:t xml:space="preserve">  Focus group participants will a</w:t>
      </w:r>
      <w:r w:rsidR="00BD2341" w:rsidRPr="00735474">
        <w:rPr>
          <w:color w:val="000000"/>
          <w:sz w:val="24"/>
        </w:rPr>
        <w:t>lso receive</w:t>
      </w:r>
      <w:r w:rsidR="008C55D0" w:rsidRPr="00735474">
        <w:rPr>
          <w:color w:val="000000"/>
          <w:sz w:val="24"/>
        </w:rPr>
        <w:t xml:space="preserve"> </w:t>
      </w:r>
      <w:r w:rsidR="00D54D13" w:rsidRPr="00735474">
        <w:rPr>
          <w:color w:val="000000"/>
          <w:sz w:val="24"/>
        </w:rPr>
        <w:t xml:space="preserve">a </w:t>
      </w:r>
      <w:r w:rsidR="008C55D0" w:rsidRPr="00735474">
        <w:rPr>
          <w:color w:val="000000"/>
          <w:sz w:val="24"/>
        </w:rPr>
        <w:t>$100 incentive fee to participate in the hour and a half discussion</w:t>
      </w:r>
      <w:r w:rsidR="00473B2E" w:rsidRPr="00735474">
        <w:rPr>
          <w:color w:val="000000"/>
          <w:sz w:val="24"/>
        </w:rPr>
        <w:t>, which is a standard incentive fee for a focus group of this length in a metropolitan area</w:t>
      </w:r>
      <w:r w:rsidR="008C55D0" w:rsidRPr="00735474">
        <w:rPr>
          <w:color w:val="000000"/>
          <w:sz w:val="24"/>
        </w:rPr>
        <w:t>.</w:t>
      </w:r>
      <w:r w:rsidR="00DE5F5C" w:rsidRPr="00735474">
        <w:rPr>
          <w:color w:val="000000"/>
          <w:sz w:val="24"/>
        </w:rPr>
        <w:t xml:space="preserve">  We request this level of incentive in order attract participants across different economic groups.  If incentives are too low, higher income participants are less likely to participate.  Also, if incentives are </w:t>
      </w:r>
      <w:r w:rsidR="00D64554" w:rsidRPr="00735474">
        <w:rPr>
          <w:color w:val="000000"/>
          <w:sz w:val="24"/>
        </w:rPr>
        <w:t xml:space="preserve">lower than the market rate for a given area, we end up spending more money recruiting participants as the recruitment effort takes longer than we pay out in additional incentives. </w:t>
      </w:r>
      <w:r w:rsidR="00DE5F5C" w:rsidRPr="00735474">
        <w:rPr>
          <w:color w:val="000000"/>
          <w:sz w:val="24"/>
        </w:rPr>
        <w:t xml:space="preserve">We have received OMB approval for this level of incentive for previous information collection requests involving similarly-oriented focus groups (OMB Control Number 3235-0623). </w:t>
      </w:r>
    </w:p>
    <w:p w14:paraId="4C7CD338" w14:textId="77777777" w:rsidR="00423E86" w:rsidRPr="00735474" w:rsidRDefault="00423E86" w:rsidP="00571030">
      <w:pPr>
        <w:widowControl/>
        <w:rPr>
          <w:color w:val="000000"/>
          <w:sz w:val="24"/>
        </w:rPr>
      </w:pPr>
    </w:p>
    <w:p w14:paraId="6BBFEFE5" w14:textId="77777777" w:rsidR="00423E86" w:rsidRPr="00735474" w:rsidRDefault="00423E86" w:rsidP="00571030">
      <w:pPr>
        <w:pStyle w:val="Quick1"/>
        <w:widowControl/>
        <w:rPr>
          <w:sz w:val="24"/>
        </w:rPr>
      </w:pPr>
      <w:r w:rsidRPr="00735474">
        <w:rPr>
          <w:sz w:val="24"/>
        </w:rPr>
        <w:t>Describe any assurance of confidentiality provided to respondents and the basis for the assurance in statute, regulation, or agency policy.</w:t>
      </w:r>
    </w:p>
    <w:p w14:paraId="3D631B41" w14:textId="77777777" w:rsidR="008D673B" w:rsidRPr="00735474" w:rsidRDefault="008D673B" w:rsidP="00571030">
      <w:pPr>
        <w:widowControl/>
        <w:rPr>
          <w:sz w:val="24"/>
        </w:rPr>
      </w:pPr>
    </w:p>
    <w:p w14:paraId="1E195838" w14:textId="77777777" w:rsidR="008D673B" w:rsidRPr="00735474" w:rsidRDefault="008D673B" w:rsidP="00735474">
      <w:pPr>
        <w:widowControl/>
        <w:jc w:val="both"/>
        <w:rPr>
          <w:sz w:val="24"/>
        </w:rPr>
      </w:pPr>
      <w:r w:rsidRPr="00735474">
        <w:rPr>
          <w:sz w:val="24"/>
        </w:rPr>
        <w:t xml:space="preserve">The standard </w:t>
      </w:r>
      <w:r w:rsidR="005B566F" w:rsidRPr="00735474">
        <w:rPr>
          <w:sz w:val="24"/>
        </w:rPr>
        <w:t xml:space="preserve">privacy </w:t>
      </w:r>
      <w:r w:rsidRPr="00735474">
        <w:rPr>
          <w:sz w:val="24"/>
        </w:rPr>
        <w:t xml:space="preserve">provisions of the ALP will apply to this survey. </w:t>
      </w:r>
      <w:r w:rsidR="004A145F" w:rsidRPr="00735474">
        <w:rPr>
          <w:sz w:val="24"/>
        </w:rPr>
        <w:t xml:space="preserve"> </w:t>
      </w:r>
      <w:r w:rsidRPr="00735474">
        <w:rPr>
          <w:sz w:val="24"/>
        </w:rPr>
        <w:t xml:space="preserve">Data will be treated in a </w:t>
      </w:r>
      <w:r w:rsidR="005B566F" w:rsidRPr="00735474">
        <w:rPr>
          <w:sz w:val="24"/>
        </w:rPr>
        <w:t xml:space="preserve">private </w:t>
      </w:r>
      <w:r w:rsidRPr="00735474">
        <w:rPr>
          <w:sz w:val="24"/>
        </w:rPr>
        <w:t xml:space="preserve">manner, unless otherwise compelled by law. </w:t>
      </w:r>
      <w:r w:rsidR="004A145F" w:rsidRPr="00735474">
        <w:rPr>
          <w:sz w:val="24"/>
        </w:rPr>
        <w:t xml:space="preserve"> </w:t>
      </w:r>
      <w:r w:rsidRPr="00735474">
        <w:rPr>
          <w:sz w:val="24"/>
        </w:rPr>
        <w:t xml:space="preserve">Personal identification information (i.e., respondent names) will not be collected in the survey instrument and will not be made available to researchers.  Specific information linking individuals to particular survey responses will not be included in any information viewed by the RAND researchers, DOL or any other Federal officials.  Further, the study’s briefs and report will not identify any specific individuals.  All potentially identifying information will be carefully secured so that there can be no breach of </w:t>
      </w:r>
      <w:r w:rsidR="005B566F" w:rsidRPr="00735474">
        <w:rPr>
          <w:sz w:val="24"/>
        </w:rPr>
        <w:t>privacy</w:t>
      </w:r>
      <w:r w:rsidRPr="00735474">
        <w:rPr>
          <w:sz w:val="24"/>
        </w:rPr>
        <w:t>.</w:t>
      </w:r>
    </w:p>
    <w:p w14:paraId="4D5A1A62" w14:textId="77777777" w:rsidR="008C55D0" w:rsidRPr="00735474" w:rsidRDefault="008C55D0" w:rsidP="00571030">
      <w:pPr>
        <w:widowControl/>
        <w:jc w:val="both"/>
        <w:rPr>
          <w:sz w:val="24"/>
        </w:rPr>
      </w:pPr>
    </w:p>
    <w:p w14:paraId="14B30ABB" w14:textId="77777777" w:rsidR="008C55D0" w:rsidRPr="00735474" w:rsidRDefault="008C55D0" w:rsidP="00735474">
      <w:pPr>
        <w:widowControl/>
        <w:jc w:val="both"/>
        <w:rPr>
          <w:sz w:val="24"/>
        </w:rPr>
      </w:pPr>
      <w:r w:rsidRPr="00735474">
        <w:rPr>
          <w:sz w:val="24"/>
        </w:rPr>
        <w:t xml:space="preserve">Focus group participants will be recruited through focus group vendors that maintain databases of names of individuals that have previously identified themselves as being willing to participate in future focus groups.  RAND researchers will only be given first names and will not have access to other contact information such as where they live or where they work.  RAND researchers will be given basic demographic information such as age and gender to </w:t>
      </w:r>
      <w:r w:rsidR="009615BE" w:rsidRPr="00735474">
        <w:rPr>
          <w:sz w:val="24"/>
        </w:rPr>
        <w:t>attempt to balance the groups.</w:t>
      </w:r>
      <w:r w:rsidR="005B566F" w:rsidRPr="00735474">
        <w:rPr>
          <w:sz w:val="24"/>
        </w:rPr>
        <w:t xml:space="preserve"> </w:t>
      </w:r>
      <w:r w:rsidR="001D55C6" w:rsidRPr="00735474">
        <w:rPr>
          <w:sz w:val="24"/>
        </w:rPr>
        <w:t xml:space="preserve"> </w:t>
      </w:r>
      <w:r w:rsidR="005B566F" w:rsidRPr="00735474">
        <w:rPr>
          <w:sz w:val="24"/>
        </w:rPr>
        <w:t>Researchers have no means to further identify or to contact participants and participants will not be named in any reports.  The focus groups are audiotaped to ensure researchers capture the full discussion.  Participants are asked for their permission to be audiotaped at the beginning of the discussion.  If a participant is not comfortable being audiotaped, they are paid the full incentive fee and are released from participation.  These tapes remain with the RAND researcher that moderates the focus groups and are kept in a locked space not accessible to others.  At the end of the research effort, the audiotapes are destroyed.</w:t>
      </w:r>
    </w:p>
    <w:p w14:paraId="33AF5557" w14:textId="77777777" w:rsidR="008D673B" w:rsidRPr="00735474" w:rsidRDefault="008D673B" w:rsidP="00571030">
      <w:pPr>
        <w:widowControl/>
        <w:rPr>
          <w:sz w:val="24"/>
        </w:rPr>
      </w:pPr>
    </w:p>
    <w:p w14:paraId="6869C74A" w14:textId="77777777" w:rsidR="00423E86" w:rsidRPr="00735474" w:rsidRDefault="00423E86" w:rsidP="00571030">
      <w:pPr>
        <w:pStyle w:val="Quick1"/>
        <w:widowControl/>
        <w:rPr>
          <w:sz w:val="24"/>
        </w:rPr>
      </w:pPr>
      <w:r w:rsidRPr="00735474">
        <w:rPr>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D0F562C" w14:textId="77777777" w:rsidR="008D673B" w:rsidRPr="00735474" w:rsidRDefault="008D673B" w:rsidP="00571030">
      <w:pPr>
        <w:widowControl/>
        <w:rPr>
          <w:sz w:val="24"/>
        </w:rPr>
      </w:pPr>
    </w:p>
    <w:p w14:paraId="1069AC3B" w14:textId="77777777" w:rsidR="007129BD" w:rsidRPr="00735474" w:rsidRDefault="007129BD" w:rsidP="00735474">
      <w:pPr>
        <w:widowControl/>
        <w:rPr>
          <w:sz w:val="24"/>
        </w:rPr>
      </w:pPr>
      <w:r w:rsidRPr="00735474">
        <w:rPr>
          <w:sz w:val="24"/>
        </w:rPr>
        <w:lastRenderedPageBreak/>
        <w:t xml:space="preserve">The </w:t>
      </w:r>
      <w:r w:rsidR="009615BE" w:rsidRPr="00735474">
        <w:rPr>
          <w:sz w:val="24"/>
        </w:rPr>
        <w:t xml:space="preserve">focus group </w:t>
      </w:r>
      <w:r w:rsidRPr="00735474">
        <w:rPr>
          <w:sz w:val="24"/>
        </w:rPr>
        <w:t xml:space="preserve">questions address </w:t>
      </w:r>
      <w:r w:rsidR="009615BE" w:rsidRPr="00735474">
        <w:rPr>
          <w:sz w:val="24"/>
        </w:rPr>
        <w:t xml:space="preserve">views about </w:t>
      </w:r>
      <w:r w:rsidRPr="00735474">
        <w:rPr>
          <w:sz w:val="24"/>
        </w:rPr>
        <w:t>personal financial decisions</w:t>
      </w:r>
      <w:r w:rsidR="009615BE" w:rsidRPr="00735474">
        <w:rPr>
          <w:sz w:val="24"/>
        </w:rPr>
        <w:t xml:space="preserve"> but do not request actual personal financial information</w:t>
      </w:r>
      <w:r w:rsidR="008D673B" w:rsidRPr="00735474">
        <w:rPr>
          <w:sz w:val="24"/>
        </w:rPr>
        <w:t xml:space="preserve">. </w:t>
      </w:r>
      <w:r w:rsidR="001D55C6" w:rsidRPr="00735474">
        <w:rPr>
          <w:sz w:val="24"/>
        </w:rPr>
        <w:t xml:space="preserve"> </w:t>
      </w:r>
      <w:r w:rsidRPr="00735474">
        <w:rPr>
          <w:sz w:val="24"/>
        </w:rPr>
        <w:t xml:space="preserve">These questions are </w:t>
      </w:r>
      <w:r w:rsidR="009615BE" w:rsidRPr="00735474">
        <w:rPr>
          <w:sz w:val="24"/>
        </w:rPr>
        <w:t xml:space="preserve">related to the types of financial information that </w:t>
      </w:r>
      <w:r w:rsidR="003462D5" w:rsidRPr="00735474">
        <w:rPr>
          <w:sz w:val="24"/>
        </w:rPr>
        <w:t xml:space="preserve">are </w:t>
      </w:r>
      <w:r w:rsidR="009615BE" w:rsidRPr="00735474">
        <w:rPr>
          <w:sz w:val="24"/>
        </w:rPr>
        <w:t>understood from the benefits statements and explores whether different or more information would better prepare respondents to make future financial decisions</w:t>
      </w:r>
      <w:r w:rsidR="0059665D" w:rsidRPr="00735474">
        <w:rPr>
          <w:sz w:val="24"/>
        </w:rPr>
        <w:t xml:space="preserve">.  </w:t>
      </w:r>
      <w:r w:rsidR="00BD2341" w:rsidRPr="00735474">
        <w:rPr>
          <w:sz w:val="24"/>
        </w:rPr>
        <w:t>The survey questions address personal financial decisions, which may be construed as questions of a sensitive or personal nature</w:t>
      </w:r>
      <w:r w:rsidR="00473B2E" w:rsidRPr="00735474">
        <w:rPr>
          <w:sz w:val="24"/>
        </w:rPr>
        <w:t>.</w:t>
      </w:r>
      <w:r w:rsidR="00BD2341" w:rsidRPr="00735474">
        <w:rPr>
          <w:sz w:val="24"/>
        </w:rPr>
        <w:t xml:space="preserve"> </w:t>
      </w:r>
      <w:r w:rsidR="00152E2E" w:rsidRPr="00735474">
        <w:rPr>
          <w:sz w:val="24"/>
        </w:rPr>
        <w:t xml:space="preserve"> </w:t>
      </w:r>
      <w:r w:rsidRPr="00735474">
        <w:rPr>
          <w:sz w:val="24"/>
        </w:rPr>
        <w:t xml:space="preserve">The </w:t>
      </w:r>
      <w:r w:rsidR="00BD2341" w:rsidRPr="00735474">
        <w:rPr>
          <w:sz w:val="24"/>
        </w:rPr>
        <w:t xml:space="preserve">choice </w:t>
      </w:r>
      <w:r w:rsidRPr="00735474">
        <w:rPr>
          <w:sz w:val="24"/>
        </w:rPr>
        <w:t xml:space="preserve">experiment questions are purely hypothetical and </w:t>
      </w:r>
      <w:r w:rsidR="00BD2341" w:rsidRPr="00735474">
        <w:rPr>
          <w:sz w:val="24"/>
        </w:rPr>
        <w:t>t</w:t>
      </w:r>
      <w:r w:rsidRPr="00735474">
        <w:rPr>
          <w:sz w:val="24"/>
        </w:rPr>
        <w:t>hus are not designed to solicit personal information from the respondent</w:t>
      </w:r>
      <w:r w:rsidR="00473B2E" w:rsidRPr="00735474">
        <w:rPr>
          <w:sz w:val="24"/>
        </w:rPr>
        <w:t>.</w:t>
      </w:r>
    </w:p>
    <w:p w14:paraId="41010988" w14:textId="77777777" w:rsidR="008D673B" w:rsidRPr="00735474" w:rsidRDefault="008D673B" w:rsidP="00571030">
      <w:pPr>
        <w:widowControl/>
        <w:rPr>
          <w:sz w:val="24"/>
        </w:rPr>
      </w:pPr>
    </w:p>
    <w:p w14:paraId="5FD785CA" w14:textId="77777777" w:rsidR="00423E86" w:rsidRPr="00735474" w:rsidRDefault="00423E86" w:rsidP="00571030">
      <w:pPr>
        <w:pStyle w:val="Quick1"/>
        <w:widowControl/>
        <w:rPr>
          <w:sz w:val="24"/>
        </w:rPr>
      </w:pPr>
      <w:r w:rsidRPr="00735474">
        <w:rPr>
          <w:sz w:val="24"/>
        </w:rPr>
        <w:t>Provide estimates of the hour burden of the collection of information.  The statement should:</w:t>
      </w:r>
    </w:p>
    <w:p w14:paraId="6A3478FC" w14:textId="77777777" w:rsidR="00423E86" w:rsidRPr="00735474" w:rsidRDefault="00423E86" w:rsidP="00571030">
      <w:pPr>
        <w:widowControl/>
        <w:rPr>
          <w:i/>
          <w:iCs/>
          <w:sz w:val="24"/>
        </w:rPr>
      </w:pPr>
    </w:p>
    <w:p w14:paraId="7A125D3F" w14:textId="77777777" w:rsidR="00423E86" w:rsidRPr="00735474" w:rsidRDefault="00423E86" w:rsidP="00571030">
      <w:pPr>
        <w:widowControl/>
        <w:tabs>
          <w:tab w:val="left" w:pos="-1440"/>
        </w:tabs>
        <w:ind w:left="1440" w:hanging="720"/>
        <w:rPr>
          <w:b/>
          <w:i/>
          <w:iCs/>
          <w:sz w:val="24"/>
        </w:rPr>
      </w:pPr>
      <w:r w:rsidRPr="00735474">
        <w:rPr>
          <w:i/>
          <w:iCs/>
          <w:sz w:val="24"/>
        </w:rPr>
        <w:t>•</w:t>
      </w:r>
      <w:r w:rsidRPr="00735474">
        <w:rPr>
          <w:i/>
          <w:iCs/>
          <w:sz w:val="24"/>
        </w:rPr>
        <w:tab/>
      </w:r>
      <w:r w:rsidRPr="00735474">
        <w:rPr>
          <w:b/>
          <w:i/>
          <w:iCs/>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D9023D6" w14:textId="77777777" w:rsidR="00423E86" w:rsidRPr="00735474" w:rsidRDefault="00423E86" w:rsidP="00571030">
      <w:pPr>
        <w:widowControl/>
        <w:rPr>
          <w:b/>
          <w:i/>
          <w:iCs/>
          <w:sz w:val="24"/>
        </w:rPr>
      </w:pPr>
    </w:p>
    <w:p w14:paraId="0DBB9C97" w14:textId="77777777" w:rsidR="00423E86" w:rsidRPr="00735474" w:rsidRDefault="00423E86" w:rsidP="00571030">
      <w:pPr>
        <w:widowControl/>
        <w:tabs>
          <w:tab w:val="left" w:pos="-1440"/>
        </w:tabs>
        <w:ind w:left="1440" w:hanging="720"/>
        <w:rPr>
          <w:b/>
          <w:i/>
          <w:iCs/>
          <w:sz w:val="24"/>
        </w:rPr>
      </w:pPr>
      <w:r w:rsidRPr="00735474">
        <w:rPr>
          <w:b/>
          <w:i/>
          <w:iCs/>
          <w:sz w:val="24"/>
        </w:rPr>
        <w:t>•</w:t>
      </w:r>
      <w:r w:rsidRPr="00735474">
        <w:rPr>
          <w:b/>
          <w:i/>
          <w:iCs/>
          <w:sz w:val="24"/>
        </w:rPr>
        <w:tab/>
        <w:t>If this request for approval covers more than one form, provide separate hour burden estimates for each form and aggregate the hour burdens in Item 13 of OMB Form 83-I.</w:t>
      </w:r>
    </w:p>
    <w:p w14:paraId="71730A25" w14:textId="77777777" w:rsidR="00423E86" w:rsidRPr="00735474" w:rsidRDefault="00423E86" w:rsidP="00571030">
      <w:pPr>
        <w:widowControl/>
        <w:rPr>
          <w:b/>
          <w:i/>
          <w:iCs/>
          <w:sz w:val="24"/>
        </w:rPr>
      </w:pPr>
    </w:p>
    <w:p w14:paraId="65591D9B" w14:textId="31D03514" w:rsidR="00423E86" w:rsidRPr="00735474" w:rsidRDefault="00423E86" w:rsidP="00571030">
      <w:pPr>
        <w:widowControl/>
        <w:tabs>
          <w:tab w:val="left" w:pos="-1440"/>
        </w:tabs>
        <w:ind w:left="1440" w:hanging="720"/>
        <w:rPr>
          <w:sz w:val="24"/>
        </w:rPr>
      </w:pPr>
      <w:r w:rsidRPr="00735474">
        <w:rPr>
          <w:b/>
          <w:i/>
          <w:iCs/>
          <w:sz w:val="24"/>
        </w:rPr>
        <w:t>•</w:t>
      </w:r>
      <w:r w:rsidRPr="00735474">
        <w:rPr>
          <w:b/>
          <w:i/>
          <w:iCs/>
          <w:sz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w:t>
      </w:r>
      <w:r w:rsidR="00735474">
        <w:rPr>
          <w:b/>
          <w:i/>
          <w:iCs/>
          <w:sz w:val="24"/>
        </w:rPr>
        <w:t>should be included in Item 14.</w:t>
      </w:r>
    </w:p>
    <w:p w14:paraId="57CD8FB1" w14:textId="77777777" w:rsidR="008C6A2E" w:rsidRPr="00735474" w:rsidRDefault="008C6A2E" w:rsidP="00571030">
      <w:pPr>
        <w:widowControl/>
        <w:rPr>
          <w:sz w:val="24"/>
        </w:rPr>
      </w:pPr>
    </w:p>
    <w:p w14:paraId="040E6653" w14:textId="16110FC7" w:rsidR="008C6A2E" w:rsidRPr="00735474" w:rsidRDefault="00576FDE" w:rsidP="00735474">
      <w:pPr>
        <w:widowControl/>
        <w:rPr>
          <w:sz w:val="24"/>
        </w:rPr>
      </w:pPr>
      <w:r w:rsidRPr="00735474">
        <w:rPr>
          <w:sz w:val="24"/>
        </w:rPr>
        <w:t xml:space="preserve">As previously </w:t>
      </w:r>
      <w:proofErr w:type="gramStart"/>
      <w:r w:rsidRPr="00735474">
        <w:rPr>
          <w:sz w:val="24"/>
        </w:rPr>
        <w:t>indicated,</w:t>
      </w:r>
      <w:proofErr w:type="gramEnd"/>
      <w:r w:rsidRPr="00735474">
        <w:rPr>
          <w:sz w:val="24"/>
        </w:rPr>
        <w:t xml:space="preserve"> t</w:t>
      </w:r>
      <w:r w:rsidR="008C6A2E" w:rsidRPr="00735474">
        <w:rPr>
          <w:sz w:val="24"/>
        </w:rPr>
        <w:t>he ALP is an Internet panel and hence will utilize a web-based instrument for data collection.  This web-survey will be formatted to be easy to read and navigate.  The web-based survey is estimated to take no more than 14 minutes to complete, including the time it may take respondents to look-up and retrieve needed information, and the experiment will take an additional 4 minutes.  Each focus group is estimated at 90 minutes.</w:t>
      </w:r>
    </w:p>
    <w:p w14:paraId="37783CA5" w14:textId="77777777" w:rsidR="008C6A2E" w:rsidRPr="00735474" w:rsidRDefault="008C6A2E" w:rsidP="00571030">
      <w:pPr>
        <w:widowControl/>
        <w:rPr>
          <w:sz w:val="24"/>
        </w:rPr>
      </w:pPr>
    </w:p>
    <w:p w14:paraId="1ABB4C27" w14:textId="77777777" w:rsidR="00855ABA" w:rsidRPr="00735474" w:rsidRDefault="008D673B" w:rsidP="00735474">
      <w:pPr>
        <w:widowControl/>
        <w:rPr>
          <w:sz w:val="24"/>
        </w:rPr>
      </w:pPr>
      <w:r w:rsidRPr="00735474">
        <w:rPr>
          <w:sz w:val="24"/>
        </w:rPr>
        <w:t>In Exhibit</w:t>
      </w:r>
      <w:r w:rsidR="00003231" w:rsidRPr="00735474">
        <w:rPr>
          <w:sz w:val="24"/>
        </w:rPr>
        <w:t>s</w:t>
      </w:r>
      <w:r w:rsidRPr="00735474">
        <w:rPr>
          <w:sz w:val="24"/>
        </w:rPr>
        <w:t xml:space="preserve"> 1 and 2, </w:t>
      </w:r>
      <w:r w:rsidR="000C302B" w:rsidRPr="00735474">
        <w:rPr>
          <w:sz w:val="24"/>
        </w:rPr>
        <w:t xml:space="preserve">the Department </w:t>
      </w:r>
      <w:r w:rsidRPr="00735474">
        <w:rPr>
          <w:sz w:val="24"/>
        </w:rPr>
        <w:t>provide</w:t>
      </w:r>
      <w:r w:rsidR="000C302B" w:rsidRPr="00735474">
        <w:rPr>
          <w:sz w:val="24"/>
        </w:rPr>
        <w:t>s</w:t>
      </w:r>
      <w:r w:rsidRPr="00735474">
        <w:rPr>
          <w:sz w:val="24"/>
        </w:rPr>
        <w:t xml:space="preserve"> estimates of the collection burden on study participants. </w:t>
      </w:r>
      <w:r w:rsidR="009466E1" w:rsidRPr="00735474">
        <w:rPr>
          <w:sz w:val="24"/>
        </w:rPr>
        <w:t xml:space="preserve"> </w:t>
      </w:r>
      <w:r w:rsidR="007129BD" w:rsidRPr="00735474">
        <w:rPr>
          <w:sz w:val="24"/>
        </w:rPr>
        <w:t>P</w:t>
      </w:r>
      <w:r w:rsidRPr="00735474">
        <w:rPr>
          <w:sz w:val="24"/>
        </w:rPr>
        <w:t>articipants will participate in data collection one time only, responding via a</w:t>
      </w:r>
      <w:r w:rsidR="007129BD" w:rsidRPr="00735474">
        <w:rPr>
          <w:sz w:val="24"/>
        </w:rPr>
        <w:t xml:space="preserve"> combined</w:t>
      </w:r>
      <w:r w:rsidRPr="00735474">
        <w:rPr>
          <w:sz w:val="24"/>
        </w:rPr>
        <w:t xml:space="preserve"> web-based </w:t>
      </w:r>
      <w:r w:rsidR="007129BD" w:rsidRPr="00735474">
        <w:rPr>
          <w:sz w:val="24"/>
        </w:rPr>
        <w:t>tool to both the survey and the experiment</w:t>
      </w:r>
      <w:r w:rsidRPr="00735474">
        <w:rPr>
          <w:sz w:val="24"/>
        </w:rPr>
        <w:t xml:space="preserve">.  Hour burden estimates have been verified during the pilot/pretesting of the instrument protocol. </w:t>
      </w:r>
    </w:p>
    <w:p w14:paraId="1E652F37" w14:textId="77777777" w:rsidR="00152E2E" w:rsidRPr="00735474" w:rsidRDefault="00152E2E" w:rsidP="00571030">
      <w:pPr>
        <w:widowControl/>
        <w:rPr>
          <w:sz w:val="24"/>
        </w:rPr>
      </w:pPr>
    </w:p>
    <w:p w14:paraId="2AD1098E" w14:textId="77777777" w:rsidR="00855ABA" w:rsidRPr="00735474" w:rsidRDefault="00855ABA" w:rsidP="00571030">
      <w:pPr>
        <w:pStyle w:val="ExhibitTitle"/>
        <w:spacing w:before="0" w:after="0"/>
        <w:ind w:left="1325" w:hanging="1325"/>
        <w:jc w:val="left"/>
        <w:rPr>
          <w:bCs/>
          <w:szCs w:val="24"/>
        </w:rPr>
      </w:pPr>
      <w:proofErr w:type="gramStart"/>
      <w:r w:rsidRPr="00735474">
        <w:rPr>
          <w:bCs/>
          <w:szCs w:val="24"/>
        </w:rPr>
        <w:t>Exhibit 1.</w:t>
      </w:r>
      <w:proofErr w:type="gramEnd"/>
      <w:r w:rsidRPr="00735474">
        <w:rPr>
          <w:bCs/>
          <w:szCs w:val="24"/>
        </w:rPr>
        <w:t xml:space="preserve">  Estimate of Annualized Time Burden to Respondents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710"/>
        <w:gridCol w:w="1260"/>
        <w:gridCol w:w="1440"/>
        <w:gridCol w:w="990"/>
      </w:tblGrid>
      <w:tr w:rsidR="00855ABA" w:rsidRPr="00735474" w14:paraId="5C024F7C" w14:textId="77777777">
        <w:tc>
          <w:tcPr>
            <w:tcW w:w="1800" w:type="dxa"/>
            <w:vAlign w:val="center"/>
          </w:tcPr>
          <w:p w14:paraId="30684562" w14:textId="77777777" w:rsidR="00855ABA" w:rsidRPr="00735474" w:rsidRDefault="00855ABA" w:rsidP="00571030">
            <w:pPr>
              <w:widowControl/>
              <w:rPr>
                <w:bCs/>
                <w:sz w:val="24"/>
              </w:rPr>
            </w:pPr>
            <w:r w:rsidRPr="00735474">
              <w:rPr>
                <w:bCs/>
                <w:sz w:val="24"/>
              </w:rPr>
              <w:t>Type of</w:t>
            </w:r>
          </w:p>
          <w:p w14:paraId="2B3A8E4E" w14:textId="77777777" w:rsidR="00855ABA" w:rsidRPr="00735474" w:rsidRDefault="00855ABA" w:rsidP="00571030">
            <w:pPr>
              <w:widowControl/>
              <w:rPr>
                <w:bCs/>
                <w:sz w:val="24"/>
              </w:rPr>
            </w:pPr>
            <w:r w:rsidRPr="00735474">
              <w:rPr>
                <w:bCs/>
                <w:sz w:val="24"/>
              </w:rPr>
              <w:t>Respondent</w:t>
            </w:r>
          </w:p>
          <w:p w14:paraId="007207AD" w14:textId="77777777" w:rsidR="00855ABA" w:rsidRPr="00735474" w:rsidRDefault="00855ABA" w:rsidP="00571030">
            <w:pPr>
              <w:widowControl/>
              <w:rPr>
                <w:bCs/>
                <w:sz w:val="24"/>
              </w:rPr>
            </w:pPr>
          </w:p>
        </w:tc>
        <w:tc>
          <w:tcPr>
            <w:tcW w:w="1440" w:type="dxa"/>
            <w:vAlign w:val="center"/>
          </w:tcPr>
          <w:p w14:paraId="319D3A4F" w14:textId="77777777" w:rsidR="00855ABA" w:rsidRPr="00735474" w:rsidRDefault="00855ABA" w:rsidP="00571030">
            <w:pPr>
              <w:widowControl/>
              <w:jc w:val="center"/>
              <w:rPr>
                <w:bCs/>
                <w:sz w:val="24"/>
              </w:rPr>
            </w:pPr>
            <w:r w:rsidRPr="00735474">
              <w:rPr>
                <w:bCs/>
                <w:sz w:val="24"/>
              </w:rPr>
              <w:t>Number of</w:t>
            </w:r>
          </w:p>
          <w:p w14:paraId="77D2C6F5" w14:textId="77777777" w:rsidR="00855ABA" w:rsidRPr="00735474" w:rsidRDefault="00855ABA" w:rsidP="00571030">
            <w:pPr>
              <w:widowControl/>
              <w:jc w:val="center"/>
              <w:rPr>
                <w:bCs/>
                <w:sz w:val="24"/>
              </w:rPr>
            </w:pPr>
            <w:r w:rsidRPr="00735474">
              <w:rPr>
                <w:bCs/>
                <w:sz w:val="24"/>
              </w:rPr>
              <w:t>Respondents</w:t>
            </w:r>
          </w:p>
        </w:tc>
        <w:tc>
          <w:tcPr>
            <w:tcW w:w="1710" w:type="dxa"/>
            <w:vAlign w:val="center"/>
          </w:tcPr>
          <w:p w14:paraId="6C279DAC" w14:textId="77777777" w:rsidR="00855ABA" w:rsidRPr="00735474" w:rsidRDefault="00855ABA" w:rsidP="00571030">
            <w:pPr>
              <w:widowControl/>
              <w:jc w:val="center"/>
              <w:rPr>
                <w:bCs/>
                <w:sz w:val="24"/>
              </w:rPr>
            </w:pPr>
            <w:r w:rsidRPr="00735474">
              <w:rPr>
                <w:bCs/>
                <w:sz w:val="24"/>
              </w:rPr>
              <w:t>Number of Responses</w:t>
            </w:r>
          </w:p>
          <w:p w14:paraId="46D8D109" w14:textId="77777777" w:rsidR="00855ABA" w:rsidRPr="00735474" w:rsidRDefault="00855ABA" w:rsidP="00571030">
            <w:pPr>
              <w:widowControl/>
              <w:jc w:val="center"/>
              <w:rPr>
                <w:bCs/>
                <w:sz w:val="24"/>
              </w:rPr>
            </w:pPr>
            <w:r w:rsidRPr="00735474">
              <w:rPr>
                <w:bCs/>
                <w:sz w:val="24"/>
              </w:rPr>
              <w:t>Per Respondent</w:t>
            </w:r>
          </w:p>
        </w:tc>
        <w:tc>
          <w:tcPr>
            <w:tcW w:w="1260" w:type="dxa"/>
            <w:vAlign w:val="center"/>
          </w:tcPr>
          <w:p w14:paraId="06D8225C" w14:textId="77777777" w:rsidR="00855ABA" w:rsidRPr="00735474" w:rsidRDefault="00855ABA" w:rsidP="00571030">
            <w:pPr>
              <w:widowControl/>
              <w:jc w:val="center"/>
              <w:rPr>
                <w:bCs/>
                <w:sz w:val="24"/>
              </w:rPr>
            </w:pPr>
            <w:r w:rsidRPr="00735474">
              <w:rPr>
                <w:bCs/>
                <w:sz w:val="24"/>
              </w:rPr>
              <w:t>Total Responses</w:t>
            </w:r>
          </w:p>
        </w:tc>
        <w:tc>
          <w:tcPr>
            <w:tcW w:w="1440" w:type="dxa"/>
            <w:vAlign w:val="center"/>
          </w:tcPr>
          <w:p w14:paraId="2CAADFF7" w14:textId="77777777" w:rsidR="00855ABA" w:rsidRPr="00735474" w:rsidRDefault="00855ABA" w:rsidP="00571030">
            <w:pPr>
              <w:widowControl/>
              <w:jc w:val="center"/>
              <w:rPr>
                <w:bCs/>
                <w:sz w:val="24"/>
              </w:rPr>
            </w:pPr>
            <w:r w:rsidRPr="00735474">
              <w:rPr>
                <w:bCs/>
                <w:sz w:val="24"/>
              </w:rPr>
              <w:t>Average</w:t>
            </w:r>
          </w:p>
          <w:p w14:paraId="325ED794" w14:textId="77777777" w:rsidR="00855ABA" w:rsidRPr="00735474" w:rsidRDefault="00855ABA" w:rsidP="00571030">
            <w:pPr>
              <w:widowControl/>
              <w:jc w:val="center"/>
              <w:rPr>
                <w:bCs/>
                <w:sz w:val="24"/>
              </w:rPr>
            </w:pPr>
            <w:r w:rsidRPr="00735474">
              <w:rPr>
                <w:bCs/>
                <w:sz w:val="24"/>
              </w:rPr>
              <w:t>Burden per</w:t>
            </w:r>
          </w:p>
          <w:p w14:paraId="7B81223A" w14:textId="77777777" w:rsidR="00855ABA" w:rsidRPr="00735474" w:rsidRDefault="00855ABA" w:rsidP="00571030">
            <w:pPr>
              <w:widowControl/>
              <w:jc w:val="center"/>
              <w:rPr>
                <w:bCs/>
                <w:sz w:val="24"/>
              </w:rPr>
            </w:pPr>
            <w:r w:rsidRPr="00735474">
              <w:rPr>
                <w:bCs/>
                <w:sz w:val="24"/>
              </w:rPr>
              <w:t>Response</w:t>
            </w:r>
          </w:p>
          <w:p w14:paraId="240B06A1" w14:textId="77777777" w:rsidR="00855ABA" w:rsidRPr="00735474" w:rsidRDefault="00855ABA" w:rsidP="00571030">
            <w:pPr>
              <w:widowControl/>
              <w:jc w:val="center"/>
              <w:rPr>
                <w:bCs/>
                <w:sz w:val="24"/>
              </w:rPr>
            </w:pPr>
            <w:r w:rsidRPr="00735474">
              <w:rPr>
                <w:bCs/>
                <w:sz w:val="24"/>
              </w:rPr>
              <w:t>(in hours)</w:t>
            </w:r>
          </w:p>
        </w:tc>
        <w:tc>
          <w:tcPr>
            <w:tcW w:w="990" w:type="dxa"/>
            <w:vAlign w:val="center"/>
          </w:tcPr>
          <w:p w14:paraId="560A1632" w14:textId="77777777" w:rsidR="00855ABA" w:rsidRPr="00735474" w:rsidRDefault="00855ABA" w:rsidP="00571030">
            <w:pPr>
              <w:widowControl/>
              <w:jc w:val="center"/>
              <w:rPr>
                <w:bCs/>
                <w:sz w:val="24"/>
              </w:rPr>
            </w:pPr>
            <w:r w:rsidRPr="00735474">
              <w:rPr>
                <w:bCs/>
                <w:sz w:val="24"/>
              </w:rPr>
              <w:t>Total Burden Hours</w:t>
            </w:r>
          </w:p>
        </w:tc>
      </w:tr>
      <w:tr w:rsidR="00F415A5" w:rsidRPr="00735474" w14:paraId="0448C29E" w14:textId="77777777" w:rsidTr="007129BD">
        <w:trPr>
          <w:trHeight w:val="575"/>
        </w:trPr>
        <w:tc>
          <w:tcPr>
            <w:tcW w:w="1800" w:type="dxa"/>
            <w:vAlign w:val="center"/>
          </w:tcPr>
          <w:p w14:paraId="5FB02149" w14:textId="77777777" w:rsidR="00F415A5" w:rsidRPr="00735474" w:rsidRDefault="00F415A5" w:rsidP="00571030">
            <w:pPr>
              <w:widowControl/>
              <w:rPr>
                <w:bCs/>
                <w:sz w:val="24"/>
              </w:rPr>
            </w:pPr>
            <w:r w:rsidRPr="00735474">
              <w:rPr>
                <w:bCs/>
                <w:sz w:val="24"/>
              </w:rPr>
              <w:lastRenderedPageBreak/>
              <w:t>Household Survey</w:t>
            </w:r>
          </w:p>
        </w:tc>
        <w:tc>
          <w:tcPr>
            <w:tcW w:w="1440" w:type="dxa"/>
            <w:vAlign w:val="center"/>
          </w:tcPr>
          <w:p w14:paraId="02F9D42D" w14:textId="77777777" w:rsidR="00F415A5" w:rsidRPr="00735474" w:rsidRDefault="00F415A5" w:rsidP="00571030">
            <w:pPr>
              <w:widowControl/>
              <w:ind w:left="-18"/>
              <w:jc w:val="center"/>
              <w:rPr>
                <w:sz w:val="24"/>
              </w:rPr>
            </w:pPr>
            <w:r w:rsidRPr="00735474">
              <w:rPr>
                <w:sz w:val="24"/>
              </w:rPr>
              <w:t>2,900</w:t>
            </w:r>
          </w:p>
        </w:tc>
        <w:tc>
          <w:tcPr>
            <w:tcW w:w="1710" w:type="dxa"/>
            <w:vAlign w:val="center"/>
          </w:tcPr>
          <w:p w14:paraId="454D6FFB" w14:textId="77777777" w:rsidR="00F415A5" w:rsidRPr="00735474" w:rsidRDefault="00F415A5" w:rsidP="00571030">
            <w:pPr>
              <w:widowControl/>
              <w:ind w:left="-18"/>
              <w:jc w:val="center"/>
              <w:rPr>
                <w:sz w:val="24"/>
              </w:rPr>
            </w:pPr>
            <w:r w:rsidRPr="00735474">
              <w:rPr>
                <w:sz w:val="24"/>
              </w:rPr>
              <w:t>1</w:t>
            </w:r>
          </w:p>
        </w:tc>
        <w:tc>
          <w:tcPr>
            <w:tcW w:w="1260" w:type="dxa"/>
            <w:vAlign w:val="center"/>
          </w:tcPr>
          <w:p w14:paraId="46CDBB6A" w14:textId="77777777" w:rsidR="00F415A5" w:rsidRPr="00735474" w:rsidRDefault="00F415A5" w:rsidP="00571030">
            <w:pPr>
              <w:widowControl/>
              <w:ind w:left="-18"/>
              <w:jc w:val="center"/>
              <w:rPr>
                <w:sz w:val="24"/>
              </w:rPr>
            </w:pPr>
            <w:r w:rsidRPr="00735474">
              <w:rPr>
                <w:sz w:val="24"/>
              </w:rPr>
              <w:t>2,900</w:t>
            </w:r>
          </w:p>
        </w:tc>
        <w:tc>
          <w:tcPr>
            <w:tcW w:w="1440" w:type="dxa"/>
            <w:vAlign w:val="center"/>
          </w:tcPr>
          <w:p w14:paraId="5D9BAA12" w14:textId="77777777" w:rsidR="00F415A5" w:rsidRPr="00735474" w:rsidRDefault="00F415A5" w:rsidP="00571030">
            <w:pPr>
              <w:widowControl/>
              <w:ind w:left="-18"/>
              <w:jc w:val="center"/>
              <w:rPr>
                <w:sz w:val="24"/>
              </w:rPr>
            </w:pPr>
            <w:r w:rsidRPr="00735474">
              <w:rPr>
                <w:sz w:val="24"/>
              </w:rPr>
              <w:t>0</w:t>
            </w:r>
            <w:r w:rsidR="00BD2341" w:rsidRPr="00735474">
              <w:rPr>
                <w:sz w:val="24"/>
              </w:rPr>
              <w:t>.</w:t>
            </w:r>
            <w:r w:rsidR="00F53CB1" w:rsidRPr="00735474">
              <w:rPr>
                <w:sz w:val="24"/>
              </w:rPr>
              <w:t>30</w:t>
            </w:r>
          </w:p>
        </w:tc>
        <w:tc>
          <w:tcPr>
            <w:tcW w:w="990" w:type="dxa"/>
            <w:vAlign w:val="center"/>
          </w:tcPr>
          <w:p w14:paraId="37D86934" w14:textId="77777777" w:rsidR="00F415A5" w:rsidRPr="00735474" w:rsidRDefault="00BD2341" w:rsidP="00571030">
            <w:pPr>
              <w:widowControl/>
              <w:rPr>
                <w:sz w:val="24"/>
              </w:rPr>
            </w:pPr>
            <w:r w:rsidRPr="00735474">
              <w:rPr>
                <w:sz w:val="24"/>
              </w:rPr>
              <w:t xml:space="preserve"> </w:t>
            </w:r>
            <w:r w:rsidR="00E33EC4" w:rsidRPr="00735474">
              <w:rPr>
                <w:sz w:val="24"/>
              </w:rPr>
              <w:t>870</w:t>
            </w:r>
          </w:p>
        </w:tc>
      </w:tr>
      <w:tr w:rsidR="00F415A5" w:rsidRPr="00735474" w14:paraId="2D19F1CA" w14:textId="77777777">
        <w:tc>
          <w:tcPr>
            <w:tcW w:w="1800" w:type="dxa"/>
            <w:vAlign w:val="center"/>
          </w:tcPr>
          <w:p w14:paraId="765EC8E3" w14:textId="77777777" w:rsidR="00F415A5" w:rsidRPr="00735474" w:rsidRDefault="009615BE" w:rsidP="00571030">
            <w:pPr>
              <w:widowControl/>
              <w:rPr>
                <w:bCs/>
                <w:sz w:val="24"/>
              </w:rPr>
            </w:pPr>
            <w:r w:rsidRPr="00735474">
              <w:rPr>
                <w:bCs/>
                <w:sz w:val="24"/>
              </w:rPr>
              <w:t>Focus Groups</w:t>
            </w:r>
          </w:p>
        </w:tc>
        <w:tc>
          <w:tcPr>
            <w:tcW w:w="1440" w:type="dxa"/>
            <w:vAlign w:val="center"/>
          </w:tcPr>
          <w:p w14:paraId="2D4DB416" w14:textId="77777777" w:rsidR="00F415A5" w:rsidRPr="00735474" w:rsidRDefault="009615BE" w:rsidP="00571030">
            <w:pPr>
              <w:widowControl/>
              <w:ind w:left="-18"/>
              <w:jc w:val="center"/>
              <w:rPr>
                <w:sz w:val="24"/>
              </w:rPr>
            </w:pPr>
            <w:r w:rsidRPr="00735474">
              <w:rPr>
                <w:sz w:val="24"/>
              </w:rPr>
              <w:t>50</w:t>
            </w:r>
          </w:p>
        </w:tc>
        <w:tc>
          <w:tcPr>
            <w:tcW w:w="1710" w:type="dxa"/>
            <w:vAlign w:val="center"/>
          </w:tcPr>
          <w:p w14:paraId="19028124" w14:textId="77777777" w:rsidR="00F415A5" w:rsidRPr="00735474" w:rsidRDefault="00F415A5" w:rsidP="00571030">
            <w:pPr>
              <w:widowControl/>
              <w:ind w:left="-18"/>
              <w:jc w:val="center"/>
              <w:rPr>
                <w:sz w:val="24"/>
              </w:rPr>
            </w:pPr>
            <w:r w:rsidRPr="00735474">
              <w:rPr>
                <w:sz w:val="24"/>
              </w:rPr>
              <w:t>1</w:t>
            </w:r>
          </w:p>
        </w:tc>
        <w:tc>
          <w:tcPr>
            <w:tcW w:w="1260" w:type="dxa"/>
            <w:vAlign w:val="center"/>
          </w:tcPr>
          <w:p w14:paraId="1021110E" w14:textId="77777777" w:rsidR="00F415A5" w:rsidRPr="00735474" w:rsidRDefault="009615BE" w:rsidP="00571030">
            <w:pPr>
              <w:widowControl/>
              <w:ind w:left="-18"/>
              <w:jc w:val="center"/>
              <w:rPr>
                <w:sz w:val="24"/>
              </w:rPr>
            </w:pPr>
            <w:r w:rsidRPr="00735474">
              <w:rPr>
                <w:sz w:val="24"/>
              </w:rPr>
              <w:t>50</w:t>
            </w:r>
          </w:p>
        </w:tc>
        <w:tc>
          <w:tcPr>
            <w:tcW w:w="1440" w:type="dxa"/>
            <w:vAlign w:val="center"/>
          </w:tcPr>
          <w:p w14:paraId="5F980ACB" w14:textId="2796FDF1" w:rsidR="00F415A5" w:rsidRPr="00735474" w:rsidRDefault="00D64554" w:rsidP="00571030">
            <w:pPr>
              <w:widowControl/>
              <w:ind w:left="-18"/>
              <w:jc w:val="center"/>
              <w:rPr>
                <w:sz w:val="24"/>
              </w:rPr>
            </w:pPr>
            <w:r w:rsidRPr="00735474">
              <w:rPr>
                <w:sz w:val="24"/>
              </w:rPr>
              <w:t>2</w:t>
            </w:r>
            <w:r w:rsidR="00473B2E" w:rsidRPr="00735474">
              <w:rPr>
                <w:sz w:val="24"/>
              </w:rPr>
              <w:t>.5</w:t>
            </w:r>
          </w:p>
        </w:tc>
        <w:tc>
          <w:tcPr>
            <w:tcW w:w="990" w:type="dxa"/>
            <w:vAlign w:val="center"/>
          </w:tcPr>
          <w:p w14:paraId="66E2FD3D" w14:textId="6698C650" w:rsidR="00F415A5" w:rsidRPr="00735474" w:rsidRDefault="00D64554" w:rsidP="00571030">
            <w:pPr>
              <w:widowControl/>
              <w:ind w:left="-18"/>
              <w:jc w:val="center"/>
              <w:rPr>
                <w:sz w:val="24"/>
              </w:rPr>
            </w:pPr>
            <w:r w:rsidRPr="00735474">
              <w:rPr>
                <w:sz w:val="24"/>
              </w:rPr>
              <w:t>125</w:t>
            </w:r>
          </w:p>
        </w:tc>
      </w:tr>
      <w:tr w:rsidR="00F415A5" w:rsidRPr="00735474" w14:paraId="44302513" w14:textId="77777777">
        <w:trPr>
          <w:trHeight w:val="350"/>
        </w:trPr>
        <w:tc>
          <w:tcPr>
            <w:tcW w:w="1800" w:type="dxa"/>
            <w:vAlign w:val="center"/>
          </w:tcPr>
          <w:p w14:paraId="575DAA0C" w14:textId="77777777" w:rsidR="00F415A5" w:rsidRPr="00735474" w:rsidRDefault="00F415A5" w:rsidP="00571030">
            <w:pPr>
              <w:widowControl/>
              <w:rPr>
                <w:bCs/>
                <w:sz w:val="24"/>
              </w:rPr>
            </w:pPr>
            <w:r w:rsidRPr="00735474">
              <w:rPr>
                <w:bCs/>
                <w:sz w:val="24"/>
              </w:rPr>
              <w:t>Total</w:t>
            </w:r>
          </w:p>
        </w:tc>
        <w:tc>
          <w:tcPr>
            <w:tcW w:w="1440" w:type="dxa"/>
            <w:vAlign w:val="center"/>
          </w:tcPr>
          <w:p w14:paraId="3F517C21" w14:textId="77777777" w:rsidR="00F415A5" w:rsidRPr="00735474" w:rsidRDefault="00F415A5" w:rsidP="00571030">
            <w:pPr>
              <w:widowControl/>
              <w:ind w:left="-18"/>
              <w:jc w:val="center"/>
              <w:rPr>
                <w:sz w:val="24"/>
              </w:rPr>
            </w:pPr>
            <w:r w:rsidRPr="00735474">
              <w:rPr>
                <w:sz w:val="24"/>
              </w:rPr>
              <w:t>2,9</w:t>
            </w:r>
            <w:r w:rsidR="009615BE" w:rsidRPr="00735474">
              <w:rPr>
                <w:sz w:val="24"/>
              </w:rPr>
              <w:t>5</w:t>
            </w:r>
            <w:r w:rsidRPr="00735474">
              <w:rPr>
                <w:sz w:val="24"/>
              </w:rPr>
              <w:t>0</w:t>
            </w:r>
          </w:p>
        </w:tc>
        <w:tc>
          <w:tcPr>
            <w:tcW w:w="1710" w:type="dxa"/>
            <w:vAlign w:val="center"/>
          </w:tcPr>
          <w:p w14:paraId="3413DBCD" w14:textId="77777777" w:rsidR="00F415A5" w:rsidRPr="00735474" w:rsidRDefault="00F415A5" w:rsidP="00571030">
            <w:pPr>
              <w:widowControl/>
              <w:ind w:left="-18"/>
              <w:jc w:val="center"/>
              <w:rPr>
                <w:sz w:val="24"/>
              </w:rPr>
            </w:pPr>
            <w:r w:rsidRPr="00735474">
              <w:rPr>
                <w:sz w:val="24"/>
              </w:rPr>
              <w:t>1</w:t>
            </w:r>
          </w:p>
        </w:tc>
        <w:tc>
          <w:tcPr>
            <w:tcW w:w="1260" w:type="dxa"/>
            <w:vAlign w:val="center"/>
          </w:tcPr>
          <w:p w14:paraId="78E40AD4" w14:textId="77777777" w:rsidR="00F415A5" w:rsidRPr="00735474" w:rsidRDefault="00F415A5" w:rsidP="00571030">
            <w:pPr>
              <w:widowControl/>
              <w:ind w:left="-18"/>
              <w:jc w:val="center"/>
              <w:rPr>
                <w:sz w:val="24"/>
              </w:rPr>
            </w:pPr>
            <w:r w:rsidRPr="00735474">
              <w:rPr>
                <w:sz w:val="24"/>
              </w:rPr>
              <w:t>2,9</w:t>
            </w:r>
            <w:r w:rsidR="009615BE" w:rsidRPr="00735474">
              <w:rPr>
                <w:sz w:val="24"/>
              </w:rPr>
              <w:t>5</w:t>
            </w:r>
            <w:r w:rsidRPr="00735474">
              <w:rPr>
                <w:sz w:val="24"/>
              </w:rPr>
              <w:t>0</w:t>
            </w:r>
          </w:p>
        </w:tc>
        <w:tc>
          <w:tcPr>
            <w:tcW w:w="1440" w:type="dxa"/>
            <w:vAlign w:val="center"/>
          </w:tcPr>
          <w:p w14:paraId="5F807288" w14:textId="0DFCDB02" w:rsidR="00F415A5" w:rsidRPr="00735474" w:rsidRDefault="00A60F25" w:rsidP="00571030">
            <w:pPr>
              <w:widowControl/>
              <w:ind w:left="-18"/>
              <w:jc w:val="center"/>
              <w:rPr>
                <w:sz w:val="24"/>
              </w:rPr>
            </w:pPr>
            <w:r w:rsidRPr="00735474">
              <w:rPr>
                <w:sz w:val="24"/>
              </w:rPr>
              <w:t>.337</w:t>
            </w:r>
          </w:p>
        </w:tc>
        <w:tc>
          <w:tcPr>
            <w:tcW w:w="990" w:type="dxa"/>
            <w:vAlign w:val="center"/>
          </w:tcPr>
          <w:p w14:paraId="5DB6ADA3" w14:textId="386A9D71" w:rsidR="00F415A5" w:rsidRPr="00735474" w:rsidRDefault="00A60F25" w:rsidP="00A60F25">
            <w:pPr>
              <w:widowControl/>
              <w:ind w:left="-18"/>
              <w:jc w:val="center"/>
              <w:rPr>
                <w:sz w:val="24"/>
              </w:rPr>
            </w:pPr>
            <w:r w:rsidRPr="00735474">
              <w:rPr>
                <w:sz w:val="24"/>
              </w:rPr>
              <w:t>995</w:t>
            </w:r>
          </w:p>
        </w:tc>
      </w:tr>
    </w:tbl>
    <w:p w14:paraId="060B2219" w14:textId="016FB891" w:rsidR="00735474" w:rsidRDefault="00735474" w:rsidP="00571030">
      <w:pPr>
        <w:widowControl/>
        <w:ind w:left="720"/>
        <w:rPr>
          <w:sz w:val="24"/>
        </w:rPr>
      </w:pPr>
      <w:r>
        <w:rPr>
          <w:sz w:val="24"/>
        </w:rPr>
        <w:br w:type="page"/>
      </w:r>
    </w:p>
    <w:p w14:paraId="7427C48A" w14:textId="0146F7EF" w:rsidR="00855ABA" w:rsidRPr="00735474" w:rsidRDefault="00855ABA" w:rsidP="00571030">
      <w:pPr>
        <w:pStyle w:val="ExhibitTitle"/>
        <w:spacing w:before="0" w:after="0"/>
        <w:ind w:left="1325" w:hanging="1325"/>
        <w:jc w:val="left"/>
        <w:rPr>
          <w:bCs/>
          <w:szCs w:val="24"/>
        </w:rPr>
      </w:pPr>
      <w:bookmarkStart w:id="0" w:name="_GoBack"/>
      <w:bookmarkEnd w:id="0"/>
      <w:proofErr w:type="gramStart"/>
      <w:r w:rsidRPr="00735474">
        <w:rPr>
          <w:bCs/>
          <w:szCs w:val="24"/>
        </w:rPr>
        <w:t>Exhibit 2.</w:t>
      </w:r>
      <w:proofErr w:type="gramEnd"/>
      <w:r w:rsidRPr="00735474">
        <w:rPr>
          <w:bCs/>
          <w:szCs w:val="24"/>
        </w:rPr>
        <w:t xml:space="preserve">  Estimate of Annualized </w:t>
      </w:r>
      <w:r w:rsidR="00E828F9" w:rsidRPr="00735474">
        <w:rPr>
          <w:bCs/>
          <w:szCs w:val="24"/>
        </w:rPr>
        <w:t xml:space="preserve">Monetized </w:t>
      </w:r>
      <w:r w:rsidRPr="00735474">
        <w:rPr>
          <w:bCs/>
          <w:szCs w:val="24"/>
        </w:rPr>
        <w:t xml:space="preserve">Burden </w:t>
      </w:r>
      <w:r w:rsidR="00E828F9" w:rsidRPr="00735474">
        <w:rPr>
          <w:bCs/>
          <w:szCs w:val="24"/>
        </w:rPr>
        <w:t>Hour Valu</w:t>
      </w:r>
      <w:r w:rsidR="00050B2C" w:rsidRPr="00735474">
        <w:rPr>
          <w:bCs/>
          <w:szCs w:val="24"/>
        </w:rPr>
        <w:t>e</w:t>
      </w:r>
      <w:r w:rsidR="00E828F9" w:rsidRPr="00735474">
        <w:rPr>
          <w:bCs/>
          <w:szCs w:val="24"/>
        </w:rPr>
        <w:t xml:space="preserve"> for</w:t>
      </w:r>
      <w:r w:rsidRPr="00735474">
        <w:rPr>
          <w:bCs/>
          <w:szCs w:val="24"/>
        </w:rPr>
        <w:t xml:space="preserve"> Respondents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620"/>
        <w:gridCol w:w="1620"/>
        <w:gridCol w:w="1620"/>
        <w:gridCol w:w="1620"/>
      </w:tblGrid>
      <w:tr w:rsidR="00855ABA" w:rsidRPr="00735474" w14:paraId="2BF0A0A2" w14:textId="77777777" w:rsidTr="005B3541">
        <w:tc>
          <w:tcPr>
            <w:tcW w:w="2160" w:type="dxa"/>
            <w:vAlign w:val="center"/>
          </w:tcPr>
          <w:p w14:paraId="34ABC976" w14:textId="77777777" w:rsidR="00855ABA" w:rsidRPr="00735474" w:rsidRDefault="00855ABA" w:rsidP="00571030">
            <w:pPr>
              <w:widowControl/>
              <w:ind w:left="-108"/>
              <w:rPr>
                <w:sz w:val="24"/>
              </w:rPr>
            </w:pPr>
            <w:r w:rsidRPr="00735474">
              <w:rPr>
                <w:sz w:val="24"/>
              </w:rPr>
              <w:t>Type of Respondents</w:t>
            </w:r>
          </w:p>
        </w:tc>
        <w:tc>
          <w:tcPr>
            <w:tcW w:w="1620" w:type="dxa"/>
            <w:vAlign w:val="center"/>
          </w:tcPr>
          <w:p w14:paraId="3D5C79ED" w14:textId="77777777" w:rsidR="00855ABA" w:rsidRPr="00735474" w:rsidRDefault="00855ABA" w:rsidP="00571030">
            <w:pPr>
              <w:widowControl/>
              <w:ind w:left="-108"/>
              <w:jc w:val="center"/>
              <w:rPr>
                <w:sz w:val="24"/>
              </w:rPr>
            </w:pPr>
            <w:r w:rsidRPr="00735474">
              <w:rPr>
                <w:sz w:val="24"/>
              </w:rPr>
              <w:t>Number of</w:t>
            </w:r>
          </w:p>
          <w:p w14:paraId="1FBE4C92" w14:textId="77777777" w:rsidR="00855ABA" w:rsidRPr="00735474" w:rsidRDefault="00855ABA" w:rsidP="00571030">
            <w:pPr>
              <w:widowControl/>
              <w:ind w:left="-108"/>
              <w:jc w:val="center"/>
              <w:rPr>
                <w:sz w:val="24"/>
              </w:rPr>
            </w:pPr>
            <w:r w:rsidRPr="00735474">
              <w:rPr>
                <w:sz w:val="24"/>
              </w:rPr>
              <w:t>respondents</w:t>
            </w:r>
          </w:p>
        </w:tc>
        <w:tc>
          <w:tcPr>
            <w:tcW w:w="1620" w:type="dxa"/>
            <w:vAlign w:val="center"/>
          </w:tcPr>
          <w:p w14:paraId="628C3DDA" w14:textId="77777777" w:rsidR="00855ABA" w:rsidRPr="00735474" w:rsidRDefault="00855ABA" w:rsidP="00571030">
            <w:pPr>
              <w:widowControl/>
              <w:ind w:left="-108"/>
              <w:jc w:val="center"/>
              <w:rPr>
                <w:sz w:val="24"/>
              </w:rPr>
            </w:pPr>
            <w:r w:rsidRPr="00735474">
              <w:rPr>
                <w:sz w:val="24"/>
              </w:rPr>
              <w:t>Total burden</w:t>
            </w:r>
          </w:p>
          <w:p w14:paraId="392DB29B" w14:textId="77777777" w:rsidR="00855ABA" w:rsidRPr="00735474" w:rsidRDefault="00855ABA" w:rsidP="00571030">
            <w:pPr>
              <w:widowControl/>
              <w:ind w:left="-108"/>
              <w:jc w:val="center"/>
              <w:rPr>
                <w:sz w:val="24"/>
              </w:rPr>
            </w:pPr>
            <w:r w:rsidRPr="00735474">
              <w:rPr>
                <w:sz w:val="24"/>
              </w:rPr>
              <w:t>hours</w:t>
            </w:r>
          </w:p>
        </w:tc>
        <w:tc>
          <w:tcPr>
            <w:tcW w:w="1620" w:type="dxa"/>
            <w:vAlign w:val="center"/>
          </w:tcPr>
          <w:p w14:paraId="2929B90E" w14:textId="77777777" w:rsidR="00855ABA" w:rsidRPr="00735474" w:rsidRDefault="00855ABA" w:rsidP="00571030">
            <w:pPr>
              <w:widowControl/>
              <w:ind w:left="-108"/>
              <w:jc w:val="center"/>
              <w:rPr>
                <w:sz w:val="24"/>
              </w:rPr>
            </w:pPr>
            <w:r w:rsidRPr="00735474">
              <w:rPr>
                <w:sz w:val="24"/>
              </w:rPr>
              <w:t>Average hourly</w:t>
            </w:r>
          </w:p>
          <w:p w14:paraId="40AD1245" w14:textId="77777777" w:rsidR="00855ABA" w:rsidRPr="00735474" w:rsidRDefault="00855ABA" w:rsidP="00571030">
            <w:pPr>
              <w:widowControl/>
              <w:ind w:left="-108"/>
              <w:jc w:val="center"/>
              <w:rPr>
                <w:sz w:val="24"/>
              </w:rPr>
            </w:pPr>
            <w:r w:rsidRPr="00735474">
              <w:rPr>
                <w:sz w:val="24"/>
              </w:rPr>
              <w:t>wage rate</w:t>
            </w:r>
            <w:r w:rsidR="00A44101" w:rsidRPr="00735474">
              <w:rPr>
                <w:rStyle w:val="FootnoteReference"/>
                <w:sz w:val="24"/>
                <w:vertAlign w:val="superscript"/>
              </w:rPr>
              <w:footnoteReference w:id="1"/>
            </w:r>
          </w:p>
        </w:tc>
        <w:tc>
          <w:tcPr>
            <w:tcW w:w="1620" w:type="dxa"/>
            <w:vAlign w:val="center"/>
          </w:tcPr>
          <w:p w14:paraId="4AA2C625" w14:textId="77777777" w:rsidR="00855ABA" w:rsidRPr="00735474" w:rsidRDefault="00855ABA" w:rsidP="00571030">
            <w:pPr>
              <w:widowControl/>
              <w:ind w:left="-108"/>
              <w:jc w:val="center"/>
              <w:rPr>
                <w:sz w:val="24"/>
              </w:rPr>
            </w:pPr>
            <w:r w:rsidRPr="00735474">
              <w:rPr>
                <w:sz w:val="24"/>
              </w:rPr>
              <w:t>Total cost</w:t>
            </w:r>
          </w:p>
          <w:p w14:paraId="6198548D" w14:textId="77777777" w:rsidR="00855ABA" w:rsidRPr="00735474" w:rsidRDefault="00855ABA" w:rsidP="00571030">
            <w:pPr>
              <w:widowControl/>
              <w:ind w:left="-108"/>
              <w:jc w:val="center"/>
              <w:rPr>
                <w:sz w:val="24"/>
              </w:rPr>
            </w:pPr>
            <w:r w:rsidRPr="00735474">
              <w:rPr>
                <w:sz w:val="24"/>
              </w:rPr>
              <w:t>burden</w:t>
            </w:r>
          </w:p>
        </w:tc>
      </w:tr>
      <w:tr w:rsidR="00855ABA" w:rsidRPr="00735474" w14:paraId="052CB602" w14:textId="77777777" w:rsidTr="005B3541">
        <w:trPr>
          <w:trHeight w:val="593"/>
        </w:trPr>
        <w:tc>
          <w:tcPr>
            <w:tcW w:w="2160" w:type="dxa"/>
            <w:vAlign w:val="center"/>
          </w:tcPr>
          <w:p w14:paraId="494F208C" w14:textId="77777777" w:rsidR="00855ABA" w:rsidRPr="00735474" w:rsidRDefault="00161D5C" w:rsidP="00571030">
            <w:pPr>
              <w:widowControl/>
              <w:ind w:left="-108"/>
              <w:rPr>
                <w:sz w:val="24"/>
              </w:rPr>
            </w:pPr>
            <w:r w:rsidRPr="00735474">
              <w:rPr>
                <w:sz w:val="24"/>
              </w:rPr>
              <w:t>Household Survey</w:t>
            </w:r>
          </w:p>
        </w:tc>
        <w:tc>
          <w:tcPr>
            <w:tcW w:w="1620" w:type="dxa"/>
            <w:vAlign w:val="center"/>
          </w:tcPr>
          <w:p w14:paraId="7BA06F73" w14:textId="77777777" w:rsidR="00855ABA" w:rsidRPr="00735474" w:rsidRDefault="00F415A5" w:rsidP="00571030">
            <w:pPr>
              <w:widowControl/>
              <w:ind w:left="-108"/>
              <w:jc w:val="center"/>
              <w:rPr>
                <w:sz w:val="24"/>
              </w:rPr>
            </w:pPr>
            <w:r w:rsidRPr="00735474">
              <w:rPr>
                <w:sz w:val="24"/>
              </w:rPr>
              <w:t>2,900</w:t>
            </w:r>
          </w:p>
        </w:tc>
        <w:tc>
          <w:tcPr>
            <w:tcW w:w="1620" w:type="dxa"/>
            <w:vAlign w:val="center"/>
          </w:tcPr>
          <w:p w14:paraId="54E091C0" w14:textId="77777777" w:rsidR="00855ABA" w:rsidRPr="00735474" w:rsidRDefault="00386514" w:rsidP="00571030">
            <w:pPr>
              <w:widowControl/>
              <w:ind w:left="-108"/>
              <w:jc w:val="center"/>
              <w:rPr>
                <w:sz w:val="24"/>
              </w:rPr>
            </w:pPr>
            <w:r w:rsidRPr="00735474">
              <w:rPr>
                <w:sz w:val="24"/>
              </w:rPr>
              <w:t>870</w:t>
            </w:r>
          </w:p>
        </w:tc>
        <w:tc>
          <w:tcPr>
            <w:tcW w:w="1620" w:type="dxa"/>
            <w:vAlign w:val="center"/>
          </w:tcPr>
          <w:p w14:paraId="46446012" w14:textId="08D0AED6" w:rsidR="00855ABA" w:rsidRPr="00735474" w:rsidRDefault="005A56C0" w:rsidP="00CC5D17">
            <w:pPr>
              <w:widowControl/>
              <w:ind w:left="-108"/>
              <w:jc w:val="center"/>
              <w:rPr>
                <w:sz w:val="24"/>
              </w:rPr>
            </w:pPr>
            <w:r w:rsidRPr="00735474">
              <w:rPr>
                <w:sz w:val="24"/>
              </w:rPr>
              <w:t>$2</w:t>
            </w:r>
            <w:r w:rsidR="00CC5D17" w:rsidRPr="00735474">
              <w:rPr>
                <w:sz w:val="24"/>
              </w:rPr>
              <w:t>2.01</w:t>
            </w:r>
          </w:p>
        </w:tc>
        <w:tc>
          <w:tcPr>
            <w:tcW w:w="1620" w:type="dxa"/>
            <w:vAlign w:val="center"/>
          </w:tcPr>
          <w:p w14:paraId="48266CE7" w14:textId="4C1D307A" w:rsidR="00855ABA" w:rsidRPr="00735474" w:rsidRDefault="005A56C0" w:rsidP="00CC5D17">
            <w:pPr>
              <w:widowControl/>
              <w:ind w:left="-108"/>
              <w:jc w:val="center"/>
              <w:rPr>
                <w:sz w:val="24"/>
              </w:rPr>
            </w:pPr>
            <w:r w:rsidRPr="00735474">
              <w:rPr>
                <w:sz w:val="24"/>
              </w:rPr>
              <w:t>$</w:t>
            </w:r>
            <w:r w:rsidR="00E33EC4" w:rsidRPr="00735474">
              <w:rPr>
                <w:sz w:val="24"/>
              </w:rPr>
              <w:t>1</w:t>
            </w:r>
            <w:r w:rsidR="00CC5D17" w:rsidRPr="00735474">
              <w:rPr>
                <w:sz w:val="24"/>
              </w:rPr>
              <w:t>9,148.7</w:t>
            </w:r>
            <w:r w:rsidR="00E33EC4" w:rsidRPr="00735474">
              <w:rPr>
                <w:sz w:val="24"/>
              </w:rPr>
              <w:t>0</w:t>
            </w:r>
          </w:p>
        </w:tc>
      </w:tr>
      <w:tr w:rsidR="00855ABA" w:rsidRPr="00735474" w14:paraId="6776C935" w14:textId="77777777" w:rsidTr="005B3541">
        <w:tc>
          <w:tcPr>
            <w:tcW w:w="2160" w:type="dxa"/>
            <w:vAlign w:val="center"/>
          </w:tcPr>
          <w:p w14:paraId="1F4F2745" w14:textId="77777777" w:rsidR="00855ABA" w:rsidRPr="00735474" w:rsidRDefault="009615BE" w:rsidP="00571030">
            <w:pPr>
              <w:widowControl/>
              <w:ind w:left="-108"/>
              <w:rPr>
                <w:sz w:val="24"/>
              </w:rPr>
            </w:pPr>
            <w:r w:rsidRPr="00735474">
              <w:rPr>
                <w:bCs/>
                <w:sz w:val="24"/>
              </w:rPr>
              <w:t>Focus Groups</w:t>
            </w:r>
          </w:p>
        </w:tc>
        <w:tc>
          <w:tcPr>
            <w:tcW w:w="1620" w:type="dxa"/>
            <w:vAlign w:val="center"/>
          </w:tcPr>
          <w:p w14:paraId="3AA252EA" w14:textId="77777777" w:rsidR="00855ABA" w:rsidRPr="00735474" w:rsidRDefault="009615BE" w:rsidP="00571030">
            <w:pPr>
              <w:widowControl/>
              <w:ind w:left="-108"/>
              <w:jc w:val="center"/>
              <w:rPr>
                <w:sz w:val="24"/>
              </w:rPr>
            </w:pPr>
            <w:r w:rsidRPr="00735474">
              <w:rPr>
                <w:sz w:val="24"/>
              </w:rPr>
              <w:t>50</w:t>
            </w:r>
          </w:p>
        </w:tc>
        <w:tc>
          <w:tcPr>
            <w:tcW w:w="1620" w:type="dxa"/>
            <w:vAlign w:val="center"/>
          </w:tcPr>
          <w:p w14:paraId="0053B47A" w14:textId="16D987D2" w:rsidR="00855ABA" w:rsidRPr="00735474" w:rsidRDefault="00A60F25" w:rsidP="00571030">
            <w:pPr>
              <w:widowControl/>
              <w:ind w:left="-108"/>
              <w:jc w:val="center"/>
              <w:rPr>
                <w:sz w:val="24"/>
              </w:rPr>
            </w:pPr>
            <w:r w:rsidRPr="00735474">
              <w:rPr>
                <w:sz w:val="24"/>
              </w:rPr>
              <w:t>125</w:t>
            </w:r>
          </w:p>
        </w:tc>
        <w:tc>
          <w:tcPr>
            <w:tcW w:w="1620" w:type="dxa"/>
            <w:vAlign w:val="center"/>
          </w:tcPr>
          <w:p w14:paraId="263F5B27" w14:textId="323C526A" w:rsidR="00855ABA" w:rsidRPr="00735474" w:rsidRDefault="005A56C0" w:rsidP="00CC5D17">
            <w:pPr>
              <w:widowControl/>
              <w:ind w:left="-108"/>
              <w:jc w:val="center"/>
              <w:rPr>
                <w:sz w:val="24"/>
              </w:rPr>
            </w:pPr>
            <w:r w:rsidRPr="00735474">
              <w:rPr>
                <w:sz w:val="24"/>
              </w:rPr>
              <w:t>$2</w:t>
            </w:r>
            <w:r w:rsidR="00CC5D17" w:rsidRPr="00735474">
              <w:rPr>
                <w:sz w:val="24"/>
              </w:rPr>
              <w:t>2.01</w:t>
            </w:r>
          </w:p>
        </w:tc>
        <w:tc>
          <w:tcPr>
            <w:tcW w:w="1620" w:type="dxa"/>
            <w:vAlign w:val="center"/>
          </w:tcPr>
          <w:p w14:paraId="6798AECC" w14:textId="5F44E26B" w:rsidR="00855ABA" w:rsidRPr="00735474" w:rsidRDefault="005A56C0" w:rsidP="00CC5D17">
            <w:pPr>
              <w:widowControl/>
              <w:ind w:left="-108"/>
              <w:jc w:val="center"/>
              <w:rPr>
                <w:sz w:val="24"/>
              </w:rPr>
            </w:pPr>
            <w:r w:rsidRPr="00735474">
              <w:rPr>
                <w:sz w:val="24"/>
              </w:rPr>
              <w:t>$</w:t>
            </w:r>
            <w:r w:rsidR="00CC5D17" w:rsidRPr="00735474">
              <w:rPr>
                <w:sz w:val="24"/>
              </w:rPr>
              <w:t>2,75</w:t>
            </w:r>
            <w:r w:rsidR="00386514" w:rsidRPr="00735474">
              <w:rPr>
                <w:sz w:val="24"/>
              </w:rPr>
              <w:t>1</w:t>
            </w:r>
            <w:r w:rsidRPr="00735474">
              <w:rPr>
                <w:sz w:val="24"/>
              </w:rPr>
              <w:t>.</w:t>
            </w:r>
            <w:r w:rsidR="00386514" w:rsidRPr="00735474">
              <w:rPr>
                <w:sz w:val="24"/>
              </w:rPr>
              <w:t>25</w:t>
            </w:r>
          </w:p>
        </w:tc>
      </w:tr>
      <w:tr w:rsidR="00855ABA" w:rsidRPr="00735474" w14:paraId="5FB699E9" w14:textId="77777777" w:rsidTr="005B3541">
        <w:tc>
          <w:tcPr>
            <w:tcW w:w="2160" w:type="dxa"/>
            <w:vAlign w:val="center"/>
          </w:tcPr>
          <w:p w14:paraId="5311F52E" w14:textId="77777777" w:rsidR="00855ABA" w:rsidRPr="00735474" w:rsidRDefault="00855ABA" w:rsidP="00571030">
            <w:pPr>
              <w:widowControl/>
              <w:ind w:left="-108"/>
              <w:rPr>
                <w:sz w:val="24"/>
              </w:rPr>
            </w:pPr>
            <w:r w:rsidRPr="00735474">
              <w:rPr>
                <w:sz w:val="24"/>
              </w:rPr>
              <w:t>Total</w:t>
            </w:r>
          </w:p>
        </w:tc>
        <w:tc>
          <w:tcPr>
            <w:tcW w:w="1620" w:type="dxa"/>
            <w:vAlign w:val="center"/>
          </w:tcPr>
          <w:p w14:paraId="72F7DA5F" w14:textId="77777777" w:rsidR="00855ABA" w:rsidRPr="00735474" w:rsidRDefault="00F415A5" w:rsidP="00571030">
            <w:pPr>
              <w:widowControl/>
              <w:ind w:left="-108"/>
              <w:jc w:val="center"/>
              <w:rPr>
                <w:sz w:val="24"/>
              </w:rPr>
            </w:pPr>
            <w:r w:rsidRPr="00735474">
              <w:rPr>
                <w:sz w:val="24"/>
              </w:rPr>
              <w:t>2,9</w:t>
            </w:r>
            <w:r w:rsidR="009615BE" w:rsidRPr="00735474">
              <w:rPr>
                <w:sz w:val="24"/>
              </w:rPr>
              <w:t>5</w:t>
            </w:r>
            <w:r w:rsidRPr="00735474">
              <w:rPr>
                <w:sz w:val="24"/>
              </w:rPr>
              <w:t>0</w:t>
            </w:r>
          </w:p>
        </w:tc>
        <w:tc>
          <w:tcPr>
            <w:tcW w:w="1620" w:type="dxa"/>
            <w:vAlign w:val="center"/>
          </w:tcPr>
          <w:p w14:paraId="29816799" w14:textId="70AF083F" w:rsidR="00855ABA" w:rsidRPr="00735474" w:rsidRDefault="00A60F25" w:rsidP="00A60F25">
            <w:pPr>
              <w:widowControl/>
              <w:ind w:left="-108"/>
              <w:jc w:val="center"/>
              <w:rPr>
                <w:sz w:val="24"/>
              </w:rPr>
            </w:pPr>
            <w:r w:rsidRPr="00735474">
              <w:rPr>
                <w:sz w:val="24"/>
              </w:rPr>
              <w:t>995</w:t>
            </w:r>
          </w:p>
        </w:tc>
        <w:tc>
          <w:tcPr>
            <w:tcW w:w="1620" w:type="dxa"/>
            <w:vAlign w:val="center"/>
          </w:tcPr>
          <w:p w14:paraId="64702070" w14:textId="05DC4FE0" w:rsidR="00855ABA" w:rsidRPr="00735474" w:rsidRDefault="005A56C0" w:rsidP="00CC5D17">
            <w:pPr>
              <w:widowControl/>
              <w:ind w:left="-108"/>
              <w:jc w:val="center"/>
              <w:rPr>
                <w:sz w:val="24"/>
              </w:rPr>
            </w:pPr>
            <w:r w:rsidRPr="00735474">
              <w:rPr>
                <w:sz w:val="24"/>
              </w:rPr>
              <w:t>$2</w:t>
            </w:r>
            <w:r w:rsidR="00CC5D17" w:rsidRPr="00735474">
              <w:rPr>
                <w:sz w:val="24"/>
              </w:rPr>
              <w:t>2.01</w:t>
            </w:r>
          </w:p>
        </w:tc>
        <w:tc>
          <w:tcPr>
            <w:tcW w:w="1620" w:type="dxa"/>
            <w:vAlign w:val="center"/>
          </w:tcPr>
          <w:p w14:paraId="3C9949F2" w14:textId="474DB8E6" w:rsidR="00855ABA" w:rsidRPr="00735474" w:rsidRDefault="005A56C0" w:rsidP="00CC5D17">
            <w:pPr>
              <w:widowControl/>
              <w:tabs>
                <w:tab w:val="center" w:pos="663"/>
              </w:tabs>
              <w:ind w:left="-108"/>
              <w:jc w:val="center"/>
              <w:rPr>
                <w:sz w:val="24"/>
              </w:rPr>
            </w:pPr>
            <w:r w:rsidRPr="00735474">
              <w:rPr>
                <w:sz w:val="24"/>
              </w:rPr>
              <w:t>$2</w:t>
            </w:r>
            <w:r w:rsidR="00CC5D17" w:rsidRPr="00735474">
              <w:rPr>
                <w:sz w:val="24"/>
              </w:rPr>
              <w:t>1,899.9</w:t>
            </w:r>
            <w:r w:rsidR="00386514" w:rsidRPr="00735474">
              <w:rPr>
                <w:sz w:val="24"/>
              </w:rPr>
              <w:t>5</w:t>
            </w:r>
          </w:p>
        </w:tc>
      </w:tr>
    </w:tbl>
    <w:p w14:paraId="7B3B670B" w14:textId="77777777" w:rsidR="00855ABA" w:rsidRPr="00735474" w:rsidRDefault="00855ABA" w:rsidP="00571030">
      <w:pPr>
        <w:widowControl/>
        <w:rPr>
          <w:sz w:val="24"/>
        </w:rPr>
      </w:pPr>
    </w:p>
    <w:p w14:paraId="30ED0450" w14:textId="77777777" w:rsidR="00423E86" w:rsidRPr="00735474" w:rsidRDefault="00423E86" w:rsidP="00735474">
      <w:pPr>
        <w:pStyle w:val="Quick1"/>
        <w:widowControl/>
        <w:rPr>
          <w:sz w:val="24"/>
        </w:rPr>
      </w:pPr>
      <w:r w:rsidRPr="00735474">
        <w:rPr>
          <w:sz w:val="24"/>
        </w:rPr>
        <w:t xml:space="preserve">Provide an estimate of the total annual cost burden to respondents or </w:t>
      </w:r>
      <w:proofErr w:type="spellStart"/>
      <w:r w:rsidRPr="00735474">
        <w:rPr>
          <w:sz w:val="24"/>
        </w:rPr>
        <w:t>recordkeepers</w:t>
      </w:r>
      <w:proofErr w:type="spellEnd"/>
      <w:r w:rsidRPr="00735474">
        <w:rPr>
          <w:sz w:val="24"/>
        </w:rPr>
        <w:t xml:space="preserve"> resulting from the collection of information.  (Do not include the cost of any hour burden shown in Items 12 or 14).</w:t>
      </w:r>
    </w:p>
    <w:p w14:paraId="0FCB3985" w14:textId="77777777" w:rsidR="002E4554" w:rsidRPr="00735474" w:rsidRDefault="002E4554" w:rsidP="00571030">
      <w:pPr>
        <w:widowControl/>
        <w:rPr>
          <w:sz w:val="24"/>
        </w:rPr>
      </w:pPr>
    </w:p>
    <w:p w14:paraId="026A6F99" w14:textId="77777777" w:rsidR="00855ABA" w:rsidRPr="00735474" w:rsidRDefault="00855ABA" w:rsidP="00571030">
      <w:pPr>
        <w:widowControl/>
        <w:rPr>
          <w:sz w:val="24"/>
        </w:rPr>
      </w:pPr>
      <w:r w:rsidRPr="00735474">
        <w:rPr>
          <w:sz w:val="24"/>
        </w:rPr>
        <w:t xml:space="preserve">Data collection for this study will not result in any additional capital, start-up, maintenance, or purchase costs to respondents or </w:t>
      </w:r>
      <w:proofErr w:type="spellStart"/>
      <w:r w:rsidRPr="00735474">
        <w:rPr>
          <w:sz w:val="24"/>
        </w:rPr>
        <w:t>recordkeepers</w:t>
      </w:r>
      <w:proofErr w:type="spellEnd"/>
      <w:r w:rsidRPr="00735474">
        <w:rPr>
          <w:sz w:val="24"/>
        </w:rPr>
        <w:t>.</w:t>
      </w:r>
    </w:p>
    <w:p w14:paraId="4847F09C" w14:textId="77777777" w:rsidR="00423E86" w:rsidRPr="00735474" w:rsidRDefault="00423E86" w:rsidP="00571030">
      <w:pPr>
        <w:widowControl/>
        <w:rPr>
          <w:sz w:val="24"/>
        </w:rPr>
      </w:pPr>
    </w:p>
    <w:p w14:paraId="0AE67B13" w14:textId="77777777" w:rsidR="00423E86" w:rsidRPr="00735474" w:rsidRDefault="00423E86" w:rsidP="00571030">
      <w:pPr>
        <w:pStyle w:val="Quick1"/>
        <w:widowControl/>
        <w:rPr>
          <w:sz w:val="24"/>
        </w:rPr>
      </w:pPr>
      <w:r w:rsidRPr="00735474">
        <w:rPr>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70C4FAF" w14:textId="77777777" w:rsidR="00423E86" w:rsidRPr="00735474" w:rsidRDefault="00423E86" w:rsidP="00571030">
      <w:pPr>
        <w:widowControl/>
        <w:rPr>
          <w:sz w:val="24"/>
        </w:rPr>
      </w:pPr>
    </w:p>
    <w:p w14:paraId="3E59C6DD" w14:textId="0211A383" w:rsidR="00423E86" w:rsidRPr="00735474" w:rsidRDefault="007129BD" w:rsidP="00735474">
      <w:pPr>
        <w:widowControl/>
        <w:rPr>
          <w:sz w:val="24"/>
        </w:rPr>
      </w:pPr>
      <w:r w:rsidRPr="00735474">
        <w:rPr>
          <w:sz w:val="24"/>
        </w:rPr>
        <w:t>DOL is supporting the conduct of this data collection and analysis of data as part of the contract with the RAND Corporation</w:t>
      </w:r>
      <w:r w:rsidR="0059665D" w:rsidRPr="00735474">
        <w:rPr>
          <w:sz w:val="24"/>
        </w:rPr>
        <w:t xml:space="preserve">.  </w:t>
      </w:r>
      <w:r w:rsidRPr="00735474">
        <w:rPr>
          <w:sz w:val="24"/>
        </w:rPr>
        <w:t>The estimated cost for this work including design, fieldwork, and analysis will be $</w:t>
      </w:r>
      <w:r w:rsidR="00F53CB1" w:rsidRPr="00735474">
        <w:rPr>
          <w:sz w:val="24"/>
        </w:rPr>
        <w:t>244</w:t>
      </w:r>
      <w:r w:rsidRPr="00735474">
        <w:rPr>
          <w:sz w:val="24"/>
        </w:rPr>
        <w:t>,</w:t>
      </w:r>
      <w:r w:rsidR="00F53CB1" w:rsidRPr="00735474">
        <w:rPr>
          <w:sz w:val="24"/>
        </w:rPr>
        <w:t>8</w:t>
      </w:r>
      <w:r w:rsidRPr="00735474">
        <w:rPr>
          <w:sz w:val="24"/>
        </w:rPr>
        <w:t xml:space="preserve">00. </w:t>
      </w:r>
      <w:r w:rsidR="001218E1" w:rsidRPr="00735474">
        <w:rPr>
          <w:sz w:val="24"/>
        </w:rPr>
        <w:t>The cost for conducting the household survey is estimated to be $198,500, the cost for the focus groups is estimated to be $18,000 and the cost associated with design and data analysis is estimated at $28,300.</w:t>
      </w:r>
    </w:p>
    <w:p w14:paraId="152EE168" w14:textId="77777777" w:rsidR="00855ABA" w:rsidRPr="00735474" w:rsidRDefault="007129BD" w:rsidP="00571030">
      <w:pPr>
        <w:widowControl/>
        <w:ind w:left="360"/>
        <w:rPr>
          <w:sz w:val="24"/>
          <w:highlight w:val="yellow"/>
        </w:rPr>
      </w:pPr>
      <w:r w:rsidRPr="00735474">
        <w:rPr>
          <w:sz w:val="24"/>
        </w:rPr>
        <w:t xml:space="preserve"> </w:t>
      </w:r>
    </w:p>
    <w:p w14:paraId="428A1372" w14:textId="77777777" w:rsidR="00423E86" w:rsidRPr="00735474" w:rsidRDefault="00423E86" w:rsidP="00735474">
      <w:pPr>
        <w:pStyle w:val="Quick1"/>
        <w:widowControl/>
        <w:rPr>
          <w:sz w:val="24"/>
        </w:rPr>
      </w:pPr>
      <w:r w:rsidRPr="00735474">
        <w:rPr>
          <w:sz w:val="24"/>
        </w:rPr>
        <w:t>Explain the reasons for any program changes or adjustments reporting in Items 13 or 14 of the OMB Form 83-I.</w:t>
      </w:r>
    </w:p>
    <w:p w14:paraId="4618CCE3" w14:textId="77777777" w:rsidR="00423E86" w:rsidRPr="00735474" w:rsidRDefault="00423E86" w:rsidP="00571030">
      <w:pPr>
        <w:widowControl/>
        <w:rPr>
          <w:sz w:val="24"/>
        </w:rPr>
      </w:pPr>
    </w:p>
    <w:p w14:paraId="4078FD73" w14:textId="77777777" w:rsidR="00855ABA" w:rsidRPr="00735474" w:rsidRDefault="00855ABA" w:rsidP="00571030">
      <w:pPr>
        <w:pStyle w:val="BodyTextIndent"/>
        <w:widowControl/>
        <w:ind w:left="0"/>
        <w:rPr>
          <w:rFonts w:ascii="Times New Roman" w:hAnsi="Times New Roman"/>
        </w:rPr>
      </w:pPr>
      <w:r w:rsidRPr="00735474">
        <w:rPr>
          <w:rFonts w:ascii="Times New Roman" w:hAnsi="Times New Roman"/>
        </w:rPr>
        <w:t>This is a new data collection.</w:t>
      </w:r>
    </w:p>
    <w:p w14:paraId="235C0987" w14:textId="77777777" w:rsidR="00247BFA" w:rsidRPr="00735474" w:rsidRDefault="00247BFA" w:rsidP="00571030">
      <w:pPr>
        <w:pStyle w:val="BodyTextIndent"/>
        <w:widowControl/>
        <w:ind w:left="0"/>
        <w:rPr>
          <w:rFonts w:ascii="Times New Roman" w:hAnsi="Times New Roman"/>
        </w:rPr>
      </w:pPr>
    </w:p>
    <w:p w14:paraId="1CE637B8" w14:textId="77777777" w:rsidR="00423E86" w:rsidRPr="00735474" w:rsidRDefault="00423E86" w:rsidP="00571030">
      <w:pPr>
        <w:pStyle w:val="Quick1"/>
        <w:widowControl/>
        <w:rPr>
          <w:sz w:val="24"/>
        </w:rPr>
      </w:pPr>
      <w:bookmarkStart w:id="1" w:name="_Toc205362388"/>
      <w:r w:rsidRPr="00735474">
        <w:rPr>
          <w:sz w:val="24"/>
        </w:rPr>
        <w:t>For collections of information whose results will be published, outline plans for tabulation, and publication.  Address any complex analytical techniques that will be used</w:t>
      </w:r>
      <w:r w:rsidR="0059665D" w:rsidRPr="00735474">
        <w:rPr>
          <w:sz w:val="24"/>
        </w:rPr>
        <w:t xml:space="preserve">.  </w:t>
      </w:r>
      <w:r w:rsidRPr="00735474">
        <w:rPr>
          <w:sz w:val="24"/>
        </w:rPr>
        <w:t>Provide the time schedule for the entire project, including beginning and ending dates of the collection of information, completion of report, publication dates, and other actions.</w:t>
      </w:r>
    </w:p>
    <w:p w14:paraId="46F43FBF" w14:textId="77777777" w:rsidR="00423E86" w:rsidRPr="00735474" w:rsidRDefault="00423E86" w:rsidP="00571030">
      <w:pPr>
        <w:pStyle w:val="Quick1"/>
        <w:widowControl/>
        <w:numPr>
          <w:ilvl w:val="0"/>
          <w:numId w:val="0"/>
        </w:numPr>
        <w:ind w:left="720"/>
        <w:rPr>
          <w:sz w:val="24"/>
        </w:rPr>
      </w:pPr>
    </w:p>
    <w:bookmarkEnd w:id="1"/>
    <w:p w14:paraId="233E5B2E" w14:textId="77777777" w:rsidR="00855ABA" w:rsidRPr="00735474" w:rsidRDefault="00855ABA" w:rsidP="00571030">
      <w:pPr>
        <w:pStyle w:val="ParagraphSSLAST"/>
        <w:tabs>
          <w:tab w:val="clear" w:pos="432"/>
        </w:tabs>
        <w:spacing w:after="0"/>
        <w:ind w:firstLine="0"/>
        <w:rPr>
          <w:szCs w:val="24"/>
        </w:rPr>
      </w:pPr>
      <w:r w:rsidRPr="00735474">
        <w:rPr>
          <w:szCs w:val="24"/>
        </w:rPr>
        <w:lastRenderedPageBreak/>
        <w:t xml:space="preserve">The timeline for the project, including the data collection detailed in this request for OMB approval is shown below.  The timeline calls for design and planning activities in </w:t>
      </w:r>
      <w:r w:rsidR="000839A6" w:rsidRPr="00735474">
        <w:rPr>
          <w:szCs w:val="24"/>
        </w:rPr>
        <w:t xml:space="preserve">2012 through spring </w:t>
      </w:r>
      <w:r w:rsidR="009615BE" w:rsidRPr="00735474">
        <w:rPr>
          <w:szCs w:val="24"/>
        </w:rPr>
        <w:t>2013</w:t>
      </w:r>
      <w:r w:rsidRPr="00735474">
        <w:rPr>
          <w:szCs w:val="24"/>
        </w:rPr>
        <w:t xml:space="preserve">, data collection </w:t>
      </w:r>
      <w:r w:rsidR="000839A6" w:rsidRPr="00735474">
        <w:rPr>
          <w:szCs w:val="24"/>
        </w:rPr>
        <w:t xml:space="preserve">in summer </w:t>
      </w:r>
      <w:r w:rsidR="009615BE" w:rsidRPr="00735474">
        <w:rPr>
          <w:szCs w:val="24"/>
        </w:rPr>
        <w:t>2013</w:t>
      </w:r>
      <w:r w:rsidRPr="00735474">
        <w:rPr>
          <w:szCs w:val="24"/>
        </w:rPr>
        <w:t>, and analysis and report writing in</w:t>
      </w:r>
      <w:r w:rsidR="00F059D5" w:rsidRPr="00735474">
        <w:rPr>
          <w:szCs w:val="24"/>
        </w:rPr>
        <w:t xml:space="preserve"> fall</w:t>
      </w:r>
      <w:r w:rsidRPr="00735474">
        <w:rPr>
          <w:szCs w:val="24"/>
        </w:rPr>
        <w:t xml:space="preserve"> </w:t>
      </w:r>
      <w:r w:rsidR="009615BE" w:rsidRPr="00735474">
        <w:rPr>
          <w:szCs w:val="24"/>
        </w:rPr>
        <w:t>2013</w:t>
      </w:r>
      <w:r w:rsidRPr="00735474">
        <w:rPr>
          <w:szCs w:val="24"/>
        </w:rPr>
        <w:t xml:space="preserve">. </w:t>
      </w:r>
    </w:p>
    <w:p w14:paraId="2A3CB08E" w14:textId="77777777" w:rsidR="00855ABA" w:rsidRPr="00735474" w:rsidRDefault="00855ABA" w:rsidP="00571030">
      <w:pPr>
        <w:pStyle w:val="Footer"/>
        <w:tabs>
          <w:tab w:val="clear" w:pos="4320"/>
          <w:tab w:val="clear" w:pos="8640"/>
        </w:tabs>
        <w:rPr>
          <w:b/>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250"/>
        <w:gridCol w:w="4320"/>
      </w:tblGrid>
      <w:tr w:rsidR="00855ABA" w:rsidRPr="00735474" w14:paraId="3DAC05C0" w14:textId="77777777">
        <w:trPr>
          <w:jc w:val="center"/>
        </w:trPr>
        <w:tc>
          <w:tcPr>
            <w:tcW w:w="2190" w:type="dxa"/>
            <w:tcBorders>
              <w:top w:val="single" w:sz="4" w:space="0" w:color="auto"/>
              <w:left w:val="single" w:sz="4" w:space="0" w:color="auto"/>
              <w:bottom w:val="single" w:sz="4" w:space="0" w:color="auto"/>
              <w:right w:val="single" w:sz="4" w:space="0" w:color="auto"/>
            </w:tcBorders>
            <w:vAlign w:val="center"/>
          </w:tcPr>
          <w:p w14:paraId="754DFDF1" w14:textId="77777777" w:rsidR="00855ABA" w:rsidRPr="00735474" w:rsidRDefault="00855ABA" w:rsidP="00571030">
            <w:pPr>
              <w:widowControl/>
              <w:rPr>
                <w:b/>
                <w:bCs/>
                <w:sz w:val="24"/>
              </w:rPr>
            </w:pPr>
            <w:bookmarkStart w:id="2" w:name="OLE_LINK5"/>
            <w:bookmarkStart w:id="3" w:name="OLE_LINK6"/>
            <w:r w:rsidRPr="00735474">
              <w:rPr>
                <w:b/>
                <w:bCs/>
                <w:sz w:val="24"/>
              </w:rPr>
              <w:t>Task/Activity</w:t>
            </w:r>
          </w:p>
        </w:tc>
        <w:tc>
          <w:tcPr>
            <w:tcW w:w="2250" w:type="dxa"/>
            <w:tcBorders>
              <w:top w:val="single" w:sz="4" w:space="0" w:color="auto"/>
              <w:left w:val="single" w:sz="4" w:space="0" w:color="auto"/>
              <w:bottom w:val="single" w:sz="4" w:space="0" w:color="auto"/>
              <w:right w:val="single" w:sz="4" w:space="0" w:color="auto"/>
            </w:tcBorders>
            <w:vAlign w:val="center"/>
          </w:tcPr>
          <w:p w14:paraId="4C13F5E5" w14:textId="77777777" w:rsidR="00855ABA" w:rsidRPr="00735474" w:rsidRDefault="00855ABA" w:rsidP="00571030">
            <w:pPr>
              <w:widowControl/>
              <w:rPr>
                <w:b/>
                <w:bCs/>
                <w:sz w:val="24"/>
              </w:rPr>
            </w:pPr>
            <w:r w:rsidRPr="00735474">
              <w:rPr>
                <w:b/>
                <w:bCs/>
                <w:sz w:val="24"/>
              </w:rPr>
              <w:t>Deliverable</w:t>
            </w:r>
          </w:p>
        </w:tc>
        <w:tc>
          <w:tcPr>
            <w:tcW w:w="4320" w:type="dxa"/>
            <w:tcBorders>
              <w:top w:val="single" w:sz="4" w:space="0" w:color="auto"/>
              <w:left w:val="single" w:sz="4" w:space="0" w:color="auto"/>
              <w:bottom w:val="single" w:sz="4" w:space="0" w:color="auto"/>
              <w:right w:val="single" w:sz="4" w:space="0" w:color="auto"/>
            </w:tcBorders>
            <w:vAlign w:val="center"/>
          </w:tcPr>
          <w:p w14:paraId="34CD2909" w14:textId="77777777" w:rsidR="00855ABA" w:rsidRPr="00735474" w:rsidRDefault="00855ABA" w:rsidP="00571030">
            <w:pPr>
              <w:widowControl/>
              <w:rPr>
                <w:b/>
                <w:bCs/>
                <w:sz w:val="24"/>
              </w:rPr>
            </w:pPr>
            <w:r w:rsidRPr="00735474">
              <w:rPr>
                <w:b/>
                <w:bCs/>
                <w:sz w:val="24"/>
              </w:rPr>
              <w:t>Due Date</w:t>
            </w:r>
          </w:p>
        </w:tc>
      </w:tr>
      <w:tr w:rsidR="00855ABA" w:rsidRPr="00735474" w14:paraId="11192428" w14:textId="77777777">
        <w:trPr>
          <w:trHeight w:val="520"/>
          <w:jc w:val="center"/>
        </w:trPr>
        <w:tc>
          <w:tcPr>
            <w:tcW w:w="2190" w:type="dxa"/>
            <w:tcBorders>
              <w:top w:val="single" w:sz="4" w:space="0" w:color="auto"/>
              <w:left w:val="single" w:sz="4" w:space="0" w:color="auto"/>
              <w:bottom w:val="single" w:sz="4" w:space="0" w:color="auto"/>
              <w:right w:val="single" w:sz="4" w:space="0" w:color="auto"/>
            </w:tcBorders>
            <w:vAlign w:val="center"/>
          </w:tcPr>
          <w:p w14:paraId="0B657B88" w14:textId="77777777" w:rsidR="00855ABA" w:rsidRPr="00735474" w:rsidRDefault="00855ABA" w:rsidP="00571030">
            <w:pPr>
              <w:widowControl/>
              <w:rPr>
                <w:sz w:val="24"/>
              </w:rPr>
            </w:pPr>
            <w:r w:rsidRPr="00735474">
              <w:rPr>
                <w:sz w:val="24"/>
              </w:rPr>
              <w:t>OMB Clearance</w:t>
            </w:r>
          </w:p>
        </w:tc>
        <w:tc>
          <w:tcPr>
            <w:tcW w:w="2250" w:type="dxa"/>
            <w:tcBorders>
              <w:top w:val="single" w:sz="4" w:space="0" w:color="auto"/>
              <w:left w:val="single" w:sz="4" w:space="0" w:color="auto"/>
              <w:bottom w:val="single" w:sz="4" w:space="0" w:color="auto"/>
              <w:right w:val="single" w:sz="4" w:space="0" w:color="auto"/>
            </w:tcBorders>
            <w:vAlign w:val="center"/>
          </w:tcPr>
          <w:p w14:paraId="4F40CFA5" w14:textId="77777777" w:rsidR="00855ABA" w:rsidRPr="00735474" w:rsidRDefault="00855ABA" w:rsidP="00571030">
            <w:pPr>
              <w:widowControl/>
              <w:rPr>
                <w:sz w:val="24"/>
              </w:rPr>
            </w:pPr>
            <w:r w:rsidRPr="00735474">
              <w:rPr>
                <w:sz w:val="24"/>
              </w:rPr>
              <w:t>Submit OMB Package</w:t>
            </w:r>
          </w:p>
        </w:tc>
        <w:tc>
          <w:tcPr>
            <w:tcW w:w="4320" w:type="dxa"/>
            <w:tcBorders>
              <w:top w:val="single" w:sz="4" w:space="0" w:color="auto"/>
              <w:left w:val="single" w:sz="4" w:space="0" w:color="auto"/>
              <w:bottom w:val="single" w:sz="4" w:space="0" w:color="auto"/>
              <w:right w:val="single" w:sz="4" w:space="0" w:color="auto"/>
            </w:tcBorders>
            <w:vAlign w:val="center"/>
          </w:tcPr>
          <w:p w14:paraId="046AD279" w14:textId="0BBB2E7E" w:rsidR="008B7930" w:rsidRPr="00735474" w:rsidRDefault="005802D3" w:rsidP="005802D3">
            <w:pPr>
              <w:widowControl/>
              <w:rPr>
                <w:sz w:val="24"/>
              </w:rPr>
            </w:pPr>
            <w:r w:rsidRPr="00735474">
              <w:rPr>
                <w:sz w:val="24"/>
              </w:rPr>
              <w:t>August</w:t>
            </w:r>
            <w:r w:rsidR="009615BE" w:rsidRPr="00735474">
              <w:rPr>
                <w:sz w:val="24"/>
              </w:rPr>
              <w:t xml:space="preserve"> </w:t>
            </w:r>
            <w:r w:rsidR="00855ABA" w:rsidRPr="00735474">
              <w:rPr>
                <w:sz w:val="24"/>
              </w:rPr>
              <w:t>201</w:t>
            </w:r>
            <w:r w:rsidR="00C53BDC" w:rsidRPr="00735474">
              <w:rPr>
                <w:sz w:val="24"/>
              </w:rPr>
              <w:t>3</w:t>
            </w:r>
          </w:p>
        </w:tc>
      </w:tr>
      <w:tr w:rsidR="00855ABA" w:rsidRPr="00735474" w14:paraId="025009E0" w14:textId="77777777">
        <w:trPr>
          <w:trHeight w:val="520"/>
          <w:jc w:val="center"/>
        </w:trPr>
        <w:tc>
          <w:tcPr>
            <w:tcW w:w="2190" w:type="dxa"/>
            <w:tcBorders>
              <w:top w:val="single" w:sz="4" w:space="0" w:color="auto"/>
              <w:left w:val="single" w:sz="4" w:space="0" w:color="auto"/>
              <w:bottom w:val="single" w:sz="4" w:space="0" w:color="auto"/>
              <w:right w:val="single" w:sz="4" w:space="0" w:color="auto"/>
            </w:tcBorders>
            <w:vAlign w:val="center"/>
          </w:tcPr>
          <w:p w14:paraId="0C8CCEDA" w14:textId="77777777" w:rsidR="00855ABA" w:rsidRPr="00735474" w:rsidRDefault="008B7930" w:rsidP="00571030">
            <w:pPr>
              <w:widowControl/>
              <w:rPr>
                <w:sz w:val="24"/>
              </w:rPr>
            </w:pPr>
            <w:r w:rsidRPr="00735474">
              <w:rPr>
                <w:sz w:val="24"/>
              </w:rPr>
              <w:t xml:space="preserve">Focus Group </w:t>
            </w:r>
            <w:r w:rsidR="00855ABA" w:rsidRPr="00735474">
              <w:rPr>
                <w:sz w:val="24"/>
              </w:rPr>
              <w:t>Data Collection</w:t>
            </w:r>
          </w:p>
        </w:tc>
        <w:tc>
          <w:tcPr>
            <w:tcW w:w="2250" w:type="dxa"/>
            <w:tcBorders>
              <w:top w:val="single" w:sz="4" w:space="0" w:color="auto"/>
              <w:left w:val="single" w:sz="4" w:space="0" w:color="auto"/>
              <w:bottom w:val="single" w:sz="4" w:space="0" w:color="auto"/>
              <w:right w:val="single" w:sz="4" w:space="0" w:color="auto"/>
            </w:tcBorders>
            <w:vAlign w:val="center"/>
          </w:tcPr>
          <w:p w14:paraId="10E83D24" w14:textId="77777777" w:rsidR="00855ABA" w:rsidRPr="00735474" w:rsidRDefault="008B7930" w:rsidP="00571030">
            <w:pPr>
              <w:widowControl/>
              <w:rPr>
                <w:sz w:val="24"/>
              </w:rPr>
            </w:pPr>
            <w:r w:rsidRPr="00735474">
              <w:rPr>
                <w:sz w:val="24"/>
              </w:rPr>
              <w:t>Focus Group Report</w:t>
            </w:r>
          </w:p>
        </w:tc>
        <w:tc>
          <w:tcPr>
            <w:tcW w:w="4320" w:type="dxa"/>
            <w:tcBorders>
              <w:top w:val="single" w:sz="4" w:space="0" w:color="auto"/>
              <w:left w:val="single" w:sz="4" w:space="0" w:color="auto"/>
              <w:bottom w:val="single" w:sz="4" w:space="0" w:color="auto"/>
              <w:right w:val="single" w:sz="4" w:space="0" w:color="auto"/>
            </w:tcBorders>
            <w:vAlign w:val="center"/>
          </w:tcPr>
          <w:p w14:paraId="387E4D8B" w14:textId="61BAAC76" w:rsidR="00855ABA" w:rsidRPr="00735474" w:rsidRDefault="00855ABA" w:rsidP="00571030">
            <w:pPr>
              <w:widowControl/>
              <w:rPr>
                <w:sz w:val="24"/>
              </w:rPr>
            </w:pPr>
            <w:r w:rsidRPr="00735474">
              <w:rPr>
                <w:sz w:val="24"/>
              </w:rPr>
              <w:t>Starts</w:t>
            </w:r>
            <w:r w:rsidR="005802D3" w:rsidRPr="00735474">
              <w:rPr>
                <w:sz w:val="24"/>
              </w:rPr>
              <w:t xml:space="preserve"> </w:t>
            </w:r>
            <w:r w:rsidR="00A17B67" w:rsidRPr="00735474">
              <w:rPr>
                <w:sz w:val="24"/>
              </w:rPr>
              <w:t xml:space="preserve">October </w:t>
            </w:r>
            <w:r w:rsidR="009A7EEC" w:rsidRPr="00735474">
              <w:rPr>
                <w:sz w:val="24"/>
              </w:rPr>
              <w:t>28</w:t>
            </w:r>
            <w:r w:rsidR="005802D3" w:rsidRPr="00735474">
              <w:rPr>
                <w:sz w:val="24"/>
              </w:rPr>
              <w:t>, 2013</w:t>
            </w:r>
          </w:p>
          <w:p w14:paraId="6071A190" w14:textId="14189787" w:rsidR="00855ABA" w:rsidRPr="00735474" w:rsidDel="00786FC0" w:rsidRDefault="005802D3" w:rsidP="009A7EEC">
            <w:pPr>
              <w:widowControl/>
              <w:rPr>
                <w:sz w:val="24"/>
              </w:rPr>
            </w:pPr>
            <w:r w:rsidRPr="00735474">
              <w:rPr>
                <w:sz w:val="24"/>
              </w:rPr>
              <w:t xml:space="preserve">Ends </w:t>
            </w:r>
            <w:r w:rsidR="009A7EEC" w:rsidRPr="00735474">
              <w:rPr>
                <w:sz w:val="24"/>
              </w:rPr>
              <w:t>December 6</w:t>
            </w:r>
            <w:r w:rsidRPr="00735474">
              <w:rPr>
                <w:sz w:val="24"/>
              </w:rPr>
              <w:t>, 2013</w:t>
            </w:r>
          </w:p>
        </w:tc>
      </w:tr>
      <w:tr w:rsidR="00855ABA" w:rsidRPr="00735474" w14:paraId="1FC6500F" w14:textId="77777777">
        <w:trPr>
          <w:trHeight w:val="520"/>
          <w:jc w:val="center"/>
        </w:trPr>
        <w:tc>
          <w:tcPr>
            <w:tcW w:w="2190" w:type="dxa"/>
            <w:tcBorders>
              <w:top w:val="single" w:sz="4" w:space="0" w:color="auto"/>
              <w:left w:val="single" w:sz="4" w:space="0" w:color="auto"/>
              <w:bottom w:val="single" w:sz="4" w:space="0" w:color="auto"/>
              <w:right w:val="single" w:sz="4" w:space="0" w:color="auto"/>
            </w:tcBorders>
            <w:vAlign w:val="center"/>
          </w:tcPr>
          <w:p w14:paraId="539793D1" w14:textId="77777777" w:rsidR="00855ABA" w:rsidRPr="00735474" w:rsidRDefault="008B7930" w:rsidP="00571030">
            <w:pPr>
              <w:widowControl/>
              <w:rPr>
                <w:sz w:val="24"/>
              </w:rPr>
            </w:pPr>
            <w:r w:rsidRPr="00735474">
              <w:rPr>
                <w:sz w:val="24"/>
              </w:rPr>
              <w:t xml:space="preserve">Survey </w:t>
            </w:r>
            <w:r w:rsidR="00D54D13" w:rsidRPr="00735474">
              <w:rPr>
                <w:sz w:val="24"/>
              </w:rPr>
              <w:t xml:space="preserve"> and Experiment </w:t>
            </w:r>
            <w:r w:rsidR="00855ABA" w:rsidRPr="00735474">
              <w:rPr>
                <w:sz w:val="24"/>
              </w:rPr>
              <w:t xml:space="preserve">Data Collection </w:t>
            </w:r>
          </w:p>
        </w:tc>
        <w:tc>
          <w:tcPr>
            <w:tcW w:w="2250" w:type="dxa"/>
            <w:tcBorders>
              <w:top w:val="single" w:sz="4" w:space="0" w:color="auto"/>
              <w:left w:val="single" w:sz="4" w:space="0" w:color="auto"/>
              <w:bottom w:val="single" w:sz="4" w:space="0" w:color="auto"/>
              <w:right w:val="single" w:sz="4" w:space="0" w:color="auto"/>
            </w:tcBorders>
            <w:vAlign w:val="center"/>
          </w:tcPr>
          <w:p w14:paraId="790E90AA" w14:textId="77777777" w:rsidR="00855ABA" w:rsidRPr="00735474" w:rsidRDefault="008B7930" w:rsidP="00571030">
            <w:pPr>
              <w:widowControl/>
              <w:rPr>
                <w:sz w:val="24"/>
              </w:rPr>
            </w:pPr>
            <w:r w:rsidRPr="00735474">
              <w:rPr>
                <w:sz w:val="24"/>
              </w:rPr>
              <w:t>Survey</w:t>
            </w:r>
            <w:r w:rsidR="00D54D13" w:rsidRPr="00735474">
              <w:rPr>
                <w:sz w:val="24"/>
              </w:rPr>
              <w:t xml:space="preserve"> and Experiment</w:t>
            </w:r>
          </w:p>
        </w:tc>
        <w:tc>
          <w:tcPr>
            <w:tcW w:w="4320" w:type="dxa"/>
            <w:tcBorders>
              <w:top w:val="single" w:sz="4" w:space="0" w:color="auto"/>
              <w:left w:val="single" w:sz="4" w:space="0" w:color="auto"/>
              <w:bottom w:val="single" w:sz="4" w:space="0" w:color="auto"/>
              <w:right w:val="single" w:sz="4" w:space="0" w:color="auto"/>
            </w:tcBorders>
            <w:vAlign w:val="center"/>
          </w:tcPr>
          <w:p w14:paraId="3ED0D580" w14:textId="769AFDD2" w:rsidR="00855ABA" w:rsidRPr="00735474" w:rsidRDefault="00855ABA" w:rsidP="00571030">
            <w:pPr>
              <w:widowControl/>
              <w:rPr>
                <w:sz w:val="24"/>
              </w:rPr>
            </w:pPr>
            <w:r w:rsidRPr="00735474">
              <w:rPr>
                <w:sz w:val="24"/>
              </w:rPr>
              <w:t xml:space="preserve">Starts </w:t>
            </w:r>
            <w:r w:rsidR="00A17B67" w:rsidRPr="00735474">
              <w:rPr>
                <w:sz w:val="24"/>
              </w:rPr>
              <w:t xml:space="preserve">October </w:t>
            </w:r>
            <w:r w:rsidR="009A7EEC" w:rsidRPr="00735474">
              <w:rPr>
                <w:sz w:val="24"/>
              </w:rPr>
              <w:t>28</w:t>
            </w:r>
            <w:r w:rsidR="005802D3" w:rsidRPr="00735474">
              <w:rPr>
                <w:sz w:val="24"/>
              </w:rPr>
              <w:t>, 2013</w:t>
            </w:r>
            <w:r w:rsidRPr="00735474">
              <w:rPr>
                <w:sz w:val="24"/>
              </w:rPr>
              <w:t xml:space="preserve"> </w:t>
            </w:r>
          </w:p>
          <w:p w14:paraId="6C9B6032" w14:textId="02EFDC83" w:rsidR="00855ABA" w:rsidRPr="00735474" w:rsidRDefault="00855ABA" w:rsidP="009A7EEC">
            <w:pPr>
              <w:widowControl/>
              <w:rPr>
                <w:sz w:val="24"/>
              </w:rPr>
            </w:pPr>
            <w:r w:rsidRPr="00735474">
              <w:rPr>
                <w:sz w:val="24"/>
              </w:rPr>
              <w:t>Ends</w:t>
            </w:r>
            <w:r w:rsidR="005802D3" w:rsidRPr="00735474">
              <w:rPr>
                <w:sz w:val="24"/>
              </w:rPr>
              <w:t xml:space="preserve"> </w:t>
            </w:r>
            <w:r w:rsidR="009A7EEC" w:rsidRPr="00735474">
              <w:rPr>
                <w:sz w:val="24"/>
              </w:rPr>
              <w:t>December 6</w:t>
            </w:r>
            <w:r w:rsidR="005802D3" w:rsidRPr="00735474">
              <w:rPr>
                <w:sz w:val="24"/>
              </w:rPr>
              <w:t>, 2013</w:t>
            </w:r>
            <w:r w:rsidRPr="00735474">
              <w:rPr>
                <w:sz w:val="24"/>
              </w:rPr>
              <w:t xml:space="preserve"> </w:t>
            </w:r>
          </w:p>
        </w:tc>
      </w:tr>
      <w:tr w:rsidR="00855ABA" w:rsidRPr="00735474" w14:paraId="0D3941ED" w14:textId="77777777">
        <w:trPr>
          <w:trHeight w:val="520"/>
          <w:jc w:val="center"/>
        </w:trPr>
        <w:tc>
          <w:tcPr>
            <w:tcW w:w="2190" w:type="dxa"/>
            <w:tcBorders>
              <w:top w:val="single" w:sz="4" w:space="0" w:color="auto"/>
              <w:left w:val="single" w:sz="4" w:space="0" w:color="auto"/>
              <w:bottom w:val="single" w:sz="4" w:space="0" w:color="auto"/>
              <w:right w:val="single" w:sz="4" w:space="0" w:color="auto"/>
            </w:tcBorders>
            <w:vAlign w:val="center"/>
          </w:tcPr>
          <w:p w14:paraId="15FA0686" w14:textId="77777777" w:rsidR="00855ABA" w:rsidRPr="00735474" w:rsidRDefault="00855ABA" w:rsidP="00571030">
            <w:pPr>
              <w:widowControl/>
              <w:rPr>
                <w:sz w:val="24"/>
              </w:rPr>
            </w:pPr>
            <w:r w:rsidRPr="00735474">
              <w:rPr>
                <w:sz w:val="24"/>
              </w:rPr>
              <w:t>Analysis</w:t>
            </w:r>
          </w:p>
        </w:tc>
        <w:tc>
          <w:tcPr>
            <w:tcW w:w="2250" w:type="dxa"/>
            <w:tcBorders>
              <w:top w:val="single" w:sz="4" w:space="0" w:color="auto"/>
              <w:left w:val="single" w:sz="4" w:space="0" w:color="auto"/>
              <w:bottom w:val="single" w:sz="4" w:space="0" w:color="auto"/>
              <w:right w:val="single" w:sz="4" w:space="0" w:color="auto"/>
            </w:tcBorders>
            <w:vAlign w:val="center"/>
          </w:tcPr>
          <w:p w14:paraId="33D90990" w14:textId="77777777" w:rsidR="00855ABA" w:rsidRPr="00735474" w:rsidRDefault="00855ABA" w:rsidP="00571030">
            <w:pPr>
              <w:widowControl/>
              <w:rPr>
                <w:sz w:val="24"/>
              </w:rPr>
            </w:pPr>
            <w:r w:rsidRPr="00735474">
              <w:rPr>
                <w:sz w:val="24"/>
              </w:rPr>
              <w:t>Survey Analysis</w:t>
            </w:r>
          </w:p>
          <w:p w14:paraId="2850ACB6" w14:textId="77777777" w:rsidR="00855ABA" w:rsidRPr="00735474" w:rsidRDefault="00663B42" w:rsidP="00571030">
            <w:pPr>
              <w:widowControl/>
              <w:rPr>
                <w:sz w:val="24"/>
              </w:rPr>
            </w:pPr>
            <w:r w:rsidRPr="00735474">
              <w:rPr>
                <w:sz w:val="24"/>
              </w:rPr>
              <w:t>Experiment</w:t>
            </w:r>
            <w:r w:rsidR="00855ABA" w:rsidRPr="00735474">
              <w:rPr>
                <w:sz w:val="24"/>
              </w:rPr>
              <w:t xml:space="preserve"> Analysis</w:t>
            </w:r>
          </w:p>
        </w:tc>
        <w:tc>
          <w:tcPr>
            <w:tcW w:w="4320" w:type="dxa"/>
            <w:tcBorders>
              <w:top w:val="single" w:sz="4" w:space="0" w:color="auto"/>
              <w:left w:val="single" w:sz="4" w:space="0" w:color="auto"/>
              <w:bottom w:val="single" w:sz="4" w:space="0" w:color="auto"/>
              <w:right w:val="single" w:sz="4" w:space="0" w:color="auto"/>
            </w:tcBorders>
            <w:vAlign w:val="center"/>
          </w:tcPr>
          <w:p w14:paraId="39FE7BF6" w14:textId="0ED16E60" w:rsidR="00855ABA" w:rsidRPr="00735474" w:rsidRDefault="00855ABA" w:rsidP="00571030">
            <w:pPr>
              <w:widowControl/>
              <w:rPr>
                <w:sz w:val="24"/>
              </w:rPr>
            </w:pPr>
            <w:r w:rsidRPr="00735474">
              <w:rPr>
                <w:sz w:val="24"/>
              </w:rPr>
              <w:t xml:space="preserve">Starts </w:t>
            </w:r>
            <w:r w:rsidR="00A17B67" w:rsidRPr="00735474">
              <w:rPr>
                <w:sz w:val="24"/>
              </w:rPr>
              <w:t xml:space="preserve">December </w:t>
            </w:r>
            <w:r w:rsidR="00CD46D5" w:rsidRPr="00735474">
              <w:rPr>
                <w:sz w:val="24"/>
              </w:rPr>
              <w:t>9</w:t>
            </w:r>
            <w:r w:rsidR="00EE0E7D" w:rsidRPr="00735474">
              <w:rPr>
                <w:sz w:val="24"/>
              </w:rPr>
              <w:t>, 2013</w:t>
            </w:r>
          </w:p>
          <w:p w14:paraId="72E66EE5" w14:textId="64042B5D" w:rsidR="00855ABA" w:rsidRPr="00735474" w:rsidRDefault="00855ABA" w:rsidP="00CD46D5">
            <w:pPr>
              <w:widowControl/>
              <w:rPr>
                <w:sz w:val="24"/>
              </w:rPr>
            </w:pPr>
            <w:r w:rsidRPr="00735474">
              <w:rPr>
                <w:sz w:val="24"/>
              </w:rPr>
              <w:t xml:space="preserve">Starts </w:t>
            </w:r>
            <w:r w:rsidR="009A7EEC" w:rsidRPr="00735474">
              <w:rPr>
                <w:sz w:val="24"/>
              </w:rPr>
              <w:t>December</w:t>
            </w:r>
            <w:r w:rsidR="00EE0E7D" w:rsidRPr="00735474">
              <w:rPr>
                <w:sz w:val="24"/>
              </w:rPr>
              <w:t xml:space="preserve"> </w:t>
            </w:r>
            <w:r w:rsidR="00CD46D5" w:rsidRPr="00735474">
              <w:rPr>
                <w:sz w:val="24"/>
              </w:rPr>
              <w:t>9,</w:t>
            </w:r>
            <w:r w:rsidR="00EE0E7D" w:rsidRPr="00735474">
              <w:rPr>
                <w:sz w:val="24"/>
              </w:rPr>
              <w:t xml:space="preserve"> 2013</w:t>
            </w:r>
          </w:p>
        </w:tc>
      </w:tr>
      <w:tr w:rsidR="00855ABA" w:rsidRPr="00735474" w14:paraId="0BC7CBA6" w14:textId="77777777">
        <w:trPr>
          <w:jc w:val="center"/>
        </w:trPr>
        <w:tc>
          <w:tcPr>
            <w:tcW w:w="2190" w:type="dxa"/>
            <w:tcBorders>
              <w:top w:val="single" w:sz="4" w:space="0" w:color="auto"/>
              <w:left w:val="single" w:sz="4" w:space="0" w:color="auto"/>
              <w:bottom w:val="single" w:sz="4" w:space="0" w:color="auto"/>
              <w:right w:val="single" w:sz="4" w:space="0" w:color="auto"/>
            </w:tcBorders>
            <w:vAlign w:val="center"/>
          </w:tcPr>
          <w:p w14:paraId="68A2E8F4" w14:textId="77777777" w:rsidR="00855ABA" w:rsidRPr="00735474" w:rsidRDefault="00855ABA" w:rsidP="00571030">
            <w:pPr>
              <w:widowControl/>
              <w:rPr>
                <w:sz w:val="24"/>
              </w:rPr>
            </w:pPr>
            <w:r w:rsidRPr="00735474">
              <w:rPr>
                <w:sz w:val="24"/>
              </w:rPr>
              <w:t xml:space="preserve">Final Report </w:t>
            </w:r>
          </w:p>
        </w:tc>
        <w:tc>
          <w:tcPr>
            <w:tcW w:w="2250" w:type="dxa"/>
            <w:tcBorders>
              <w:top w:val="single" w:sz="4" w:space="0" w:color="auto"/>
              <w:left w:val="single" w:sz="4" w:space="0" w:color="auto"/>
              <w:bottom w:val="single" w:sz="4" w:space="0" w:color="auto"/>
              <w:right w:val="single" w:sz="4" w:space="0" w:color="auto"/>
            </w:tcBorders>
            <w:vAlign w:val="center"/>
          </w:tcPr>
          <w:p w14:paraId="4CCFB9E6" w14:textId="77777777" w:rsidR="00855ABA" w:rsidRPr="00735474" w:rsidRDefault="00855ABA" w:rsidP="00571030">
            <w:pPr>
              <w:widowControl/>
              <w:rPr>
                <w:sz w:val="24"/>
              </w:rPr>
            </w:pPr>
            <w:r w:rsidRPr="00735474">
              <w:rPr>
                <w:sz w:val="24"/>
              </w:rPr>
              <w:t>Draft Report</w:t>
            </w:r>
          </w:p>
          <w:p w14:paraId="581B7D8D" w14:textId="77777777" w:rsidR="00855ABA" w:rsidRPr="00735474" w:rsidRDefault="00855ABA" w:rsidP="00571030">
            <w:pPr>
              <w:widowControl/>
              <w:rPr>
                <w:sz w:val="24"/>
              </w:rPr>
            </w:pPr>
            <w:r w:rsidRPr="00735474">
              <w:rPr>
                <w:sz w:val="24"/>
              </w:rPr>
              <w:t>Final Report</w:t>
            </w:r>
          </w:p>
        </w:tc>
        <w:tc>
          <w:tcPr>
            <w:tcW w:w="4320" w:type="dxa"/>
            <w:tcBorders>
              <w:top w:val="single" w:sz="4" w:space="0" w:color="auto"/>
              <w:left w:val="single" w:sz="4" w:space="0" w:color="auto"/>
              <w:bottom w:val="single" w:sz="4" w:space="0" w:color="auto"/>
              <w:right w:val="single" w:sz="4" w:space="0" w:color="auto"/>
            </w:tcBorders>
            <w:vAlign w:val="center"/>
          </w:tcPr>
          <w:p w14:paraId="31AC71A0" w14:textId="0F5B5B19" w:rsidR="00855ABA" w:rsidRPr="00735474" w:rsidRDefault="00855ABA" w:rsidP="00571030">
            <w:pPr>
              <w:widowControl/>
              <w:rPr>
                <w:sz w:val="24"/>
              </w:rPr>
            </w:pPr>
            <w:r w:rsidRPr="00735474">
              <w:rPr>
                <w:sz w:val="24"/>
              </w:rPr>
              <w:t xml:space="preserve">Completed </w:t>
            </w:r>
            <w:r w:rsidR="008115A6" w:rsidRPr="00735474">
              <w:rPr>
                <w:sz w:val="24"/>
              </w:rPr>
              <w:t>January</w:t>
            </w:r>
            <w:r w:rsidR="00CD46D5" w:rsidRPr="00735474">
              <w:rPr>
                <w:sz w:val="24"/>
              </w:rPr>
              <w:t xml:space="preserve"> </w:t>
            </w:r>
            <w:r w:rsidR="009A7EEC" w:rsidRPr="00735474">
              <w:rPr>
                <w:sz w:val="24"/>
              </w:rPr>
              <w:t>2014</w:t>
            </w:r>
          </w:p>
          <w:p w14:paraId="3F8FD414" w14:textId="501ECC53" w:rsidR="00855ABA" w:rsidRPr="00735474" w:rsidRDefault="00855ABA" w:rsidP="008115A6">
            <w:pPr>
              <w:widowControl/>
              <w:rPr>
                <w:sz w:val="24"/>
              </w:rPr>
            </w:pPr>
            <w:r w:rsidRPr="00735474">
              <w:rPr>
                <w:sz w:val="24"/>
              </w:rPr>
              <w:t>Completed</w:t>
            </w:r>
            <w:r w:rsidR="00C53BDC" w:rsidRPr="00735474">
              <w:rPr>
                <w:sz w:val="24"/>
              </w:rPr>
              <w:t xml:space="preserve"> </w:t>
            </w:r>
            <w:r w:rsidR="008115A6" w:rsidRPr="00735474">
              <w:rPr>
                <w:sz w:val="24"/>
              </w:rPr>
              <w:t>February</w:t>
            </w:r>
            <w:r w:rsidR="00EE0E7D" w:rsidRPr="00735474">
              <w:rPr>
                <w:sz w:val="24"/>
              </w:rPr>
              <w:t xml:space="preserve"> 2014</w:t>
            </w:r>
          </w:p>
        </w:tc>
      </w:tr>
      <w:bookmarkEnd w:id="2"/>
      <w:bookmarkEnd w:id="3"/>
    </w:tbl>
    <w:p w14:paraId="0ADC649E" w14:textId="77777777" w:rsidR="00855ABA" w:rsidRPr="00735474" w:rsidRDefault="00855ABA" w:rsidP="00571030">
      <w:pPr>
        <w:widowControl/>
        <w:rPr>
          <w:sz w:val="24"/>
          <w:highlight w:val="cyan"/>
        </w:rPr>
      </w:pPr>
    </w:p>
    <w:p w14:paraId="440CB58C" w14:textId="77777777" w:rsidR="00423E86" w:rsidRPr="00735474" w:rsidRDefault="00423E86" w:rsidP="00571030">
      <w:pPr>
        <w:pStyle w:val="Quick1"/>
        <w:widowControl/>
        <w:rPr>
          <w:sz w:val="24"/>
        </w:rPr>
      </w:pPr>
      <w:r w:rsidRPr="00735474">
        <w:rPr>
          <w:sz w:val="24"/>
        </w:rPr>
        <w:t>If seeking approval to not display the expiration date for OMB approval of the information collection, explain the reasons that display would be inappropriate.</w:t>
      </w:r>
    </w:p>
    <w:p w14:paraId="369DA5E2" w14:textId="77777777" w:rsidR="00423E86" w:rsidRPr="00735474" w:rsidRDefault="00423E86" w:rsidP="00571030">
      <w:pPr>
        <w:widowControl/>
        <w:ind w:left="360" w:firstLine="720"/>
        <w:rPr>
          <w:sz w:val="24"/>
        </w:rPr>
      </w:pPr>
    </w:p>
    <w:p w14:paraId="58F1A9C3" w14:textId="77777777" w:rsidR="00855ABA" w:rsidRPr="00735474" w:rsidRDefault="00150C4B" w:rsidP="00735474">
      <w:pPr>
        <w:widowControl/>
        <w:rPr>
          <w:sz w:val="24"/>
        </w:rPr>
      </w:pPr>
      <w:r w:rsidRPr="00735474">
        <w:rPr>
          <w:sz w:val="24"/>
        </w:rPr>
        <w:t>DOL does</w:t>
      </w:r>
      <w:r w:rsidR="00855ABA" w:rsidRPr="00735474">
        <w:rPr>
          <w:sz w:val="24"/>
        </w:rPr>
        <w:t xml:space="preserve"> not seek this exemption.</w:t>
      </w:r>
    </w:p>
    <w:p w14:paraId="4A0A95CD" w14:textId="77777777" w:rsidR="00855ABA" w:rsidRPr="00735474" w:rsidRDefault="00855ABA" w:rsidP="00571030">
      <w:pPr>
        <w:widowControl/>
        <w:ind w:left="360"/>
        <w:rPr>
          <w:sz w:val="24"/>
          <w:highlight w:val="cyan"/>
        </w:rPr>
      </w:pPr>
    </w:p>
    <w:p w14:paraId="1321ABE6" w14:textId="77777777" w:rsidR="00423E86" w:rsidRPr="00735474" w:rsidRDefault="00423E86" w:rsidP="00571030">
      <w:pPr>
        <w:pStyle w:val="Quick1"/>
        <w:widowControl/>
        <w:rPr>
          <w:sz w:val="24"/>
        </w:rPr>
      </w:pPr>
      <w:r w:rsidRPr="00735474">
        <w:rPr>
          <w:sz w:val="24"/>
        </w:rPr>
        <w:t>Explain each exception to the certification statement identified in Item 19, "Certification for Paperwork Reduction Act Submission," of OMB 83-I.</w:t>
      </w:r>
    </w:p>
    <w:p w14:paraId="0DCC428A" w14:textId="77777777" w:rsidR="00423E86" w:rsidRPr="00735474" w:rsidRDefault="00423E86" w:rsidP="00571030">
      <w:pPr>
        <w:widowControl/>
        <w:rPr>
          <w:sz w:val="24"/>
        </w:rPr>
      </w:pPr>
    </w:p>
    <w:p w14:paraId="70217382" w14:textId="77777777" w:rsidR="00855ABA" w:rsidRPr="00735474" w:rsidRDefault="00855ABA" w:rsidP="00735474">
      <w:pPr>
        <w:pStyle w:val="BodyTextIndent"/>
        <w:widowControl/>
        <w:ind w:left="0"/>
        <w:rPr>
          <w:rFonts w:ascii="Times New Roman" w:hAnsi="Times New Roman"/>
        </w:rPr>
      </w:pPr>
      <w:r w:rsidRPr="00735474">
        <w:rPr>
          <w:rFonts w:ascii="Times New Roman" w:hAnsi="Times New Roman"/>
        </w:rPr>
        <w:t>There are no exceptions to the certification.</w:t>
      </w:r>
    </w:p>
    <w:sectPr w:rsidR="00855ABA" w:rsidRPr="00735474" w:rsidSect="00855ABA">
      <w:headerReference w:type="default" r:id="rId9"/>
      <w:footerReference w:type="default" r:id="rId10"/>
      <w:endnotePr>
        <w:numFmt w:val="decimal"/>
      </w:endnotePr>
      <w:pgSz w:w="12240" w:h="15840"/>
      <w:pgMar w:top="1440" w:right="1440" w:bottom="1260" w:left="1440" w:header="1440" w:footer="11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F7DD2" w14:textId="77777777" w:rsidR="00400EC8" w:rsidRDefault="00400EC8">
      <w:r>
        <w:separator/>
      </w:r>
    </w:p>
  </w:endnote>
  <w:endnote w:type="continuationSeparator" w:id="0">
    <w:p w14:paraId="762F0252" w14:textId="77777777" w:rsidR="00400EC8" w:rsidRDefault="0040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utura-Book">
    <w:altName w:val="Cambria"/>
    <w:panose1 w:val="00000000000000000000"/>
    <w:charset w:val="00"/>
    <w:family w:val="swiss"/>
    <w:notTrueType/>
    <w:pitch w:val="variable"/>
    <w:sig w:usb0="00000003" w:usb1="00000000" w:usb2="00000000" w:usb3="00000000" w:csb0="00000001" w:csb1="00000000"/>
  </w:font>
  <w:font w:name="Futura Std Boo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80A8" w14:textId="77777777" w:rsidR="001218E1" w:rsidRDefault="001218E1">
    <w:pPr>
      <w:spacing w:line="348" w:lineRule="exact"/>
    </w:pPr>
  </w:p>
  <w:p w14:paraId="23747E55" w14:textId="77777777" w:rsidR="001218E1" w:rsidRDefault="001218E1">
    <w:pPr>
      <w:framePr w:w="9361" w:wrap="notBeside" w:vAnchor="text" w:hAnchor="text" w:x="1" w:y="1"/>
      <w:jc w:val="center"/>
    </w:pPr>
    <w:r>
      <w:fldChar w:fldCharType="begin"/>
    </w:r>
    <w:r>
      <w:instrText xml:space="preserve">PAGE </w:instrText>
    </w:r>
    <w:r>
      <w:fldChar w:fldCharType="separate"/>
    </w:r>
    <w:r w:rsidR="00735474">
      <w:rPr>
        <w:noProof/>
      </w:rPr>
      <w:t>11</w:t>
    </w:r>
    <w:r>
      <w:fldChar w:fldCharType="end"/>
    </w:r>
  </w:p>
  <w:p w14:paraId="471F44E4" w14:textId="77777777" w:rsidR="001218E1" w:rsidRDefault="001218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E85C5" w14:textId="77777777" w:rsidR="00400EC8" w:rsidRDefault="00400EC8">
      <w:r>
        <w:separator/>
      </w:r>
    </w:p>
  </w:footnote>
  <w:footnote w:type="continuationSeparator" w:id="0">
    <w:p w14:paraId="55D2218A" w14:textId="77777777" w:rsidR="00400EC8" w:rsidRDefault="00400EC8">
      <w:r>
        <w:continuationSeparator/>
      </w:r>
    </w:p>
  </w:footnote>
  <w:footnote w:id="1">
    <w:p w14:paraId="2D162AB7" w14:textId="48917F77" w:rsidR="001218E1" w:rsidRPr="00A44101" w:rsidRDefault="001218E1" w:rsidP="00A44101">
      <w:pPr>
        <w:pStyle w:val="FootnoteText"/>
        <w:rPr>
          <w:vertAlign w:val="superscript"/>
        </w:rPr>
      </w:pPr>
      <w:r w:rsidRPr="00A44101">
        <w:rPr>
          <w:rStyle w:val="FootnoteReference"/>
          <w:vertAlign w:val="superscript"/>
        </w:rPr>
        <w:footnoteRef/>
      </w:r>
      <w:r>
        <w:rPr>
          <w:vertAlign w:val="superscript"/>
        </w:rPr>
        <w:t xml:space="preserve"> A</w:t>
      </w:r>
      <w:r w:rsidRPr="00A44101">
        <w:rPr>
          <w:vertAlign w:val="superscript"/>
        </w:rPr>
        <w:t xml:space="preserve">verage hourly wage was derived from the Bureau of Labor and Statistics Occupational Employment Statistics (OES) survey for May 2010.  We used the mean </w:t>
      </w:r>
      <w:r>
        <w:rPr>
          <w:vertAlign w:val="superscript"/>
        </w:rPr>
        <w:t xml:space="preserve"> h</w:t>
      </w:r>
      <w:r w:rsidRPr="00A44101">
        <w:rPr>
          <w:vertAlign w:val="superscript"/>
        </w:rPr>
        <w:t xml:space="preserve">ourly wage for all occupations to cover the range of respondents in the ALP (Average hourly rates available at http://www.bls.gov/oes/current/oes_nat.htm; Accessed as of </w:t>
      </w:r>
      <w:r>
        <w:rPr>
          <w:vertAlign w:val="superscript"/>
        </w:rPr>
        <w:t>July 2013</w:t>
      </w:r>
      <w:r w:rsidRPr="00A44101">
        <w:rPr>
          <w:vertAlign w:val="superscri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C30B" w14:textId="2870579E" w:rsidR="001218E1" w:rsidRPr="005C4B31" w:rsidRDefault="001218E1" w:rsidP="005C4B31">
    <w:pPr>
      <w:jc w:val="right"/>
      <w:rPr>
        <w:b/>
      </w:rPr>
    </w:pPr>
    <w:r w:rsidRPr="005C4B31">
      <w:rPr>
        <w:b/>
      </w:rPr>
      <w:t xml:space="preserve">Pension Benefit Statements </w:t>
    </w:r>
  </w:p>
  <w:p w14:paraId="39816406" w14:textId="77777777" w:rsidR="001218E1" w:rsidRDefault="001218E1" w:rsidP="005C4B31">
    <w:pPr>
      <w:jc w:val="right"/>
      <w:rPr>
        <w:b/>
        <w:bCs/>
        <w:szCs w:val="20"/>
      </w:rPr>
    </w:pPr>
    <w:r w:rsidRPr="005C4B31">
      <w:rPr>
        <w:b/>
      </w:rPr>
      <w:t>Focus Groups and Survey</w:t>
    </w:r>
  </w:p>
  <w:p w14:paraId="33E70AA7" w14:textId="77777777" w:rsidR="001218E1" w:rsidRDefault="001218E1" w:rsidP="005C4B31">
    <w:pPr>
      <w:jc w:val="right"/>
      <w:rPr>
        <w:szCs w:val="20"/>
      </w:rPr>
    </w:pPr>
    <w:r>
      <w:rPr>
        <w:b/>
        <w:bCs/>
        <w:szCs w:val="20"/>
      </w:rPr>
      <w:t>OMB Number 1210-NEW</w:t>
    </w:r>
  </w:p>
  <w:p w14:paraId="419085A7" w14:textId="54D288C7" w:rsidR="001218E1" w:rsidRDefault="003E6161" w:rsidP="005C4B31">
    <w:pPr>
      <w:spacing w:line="240" w:lineRule="exact"/>
      <w:jc w:val="right"/>
      <w:rPr>
        <w:b/>
        <w:bCs/>
        <w:szCs w:val="20"/>
      </w:rPr>
    </w:pPr>
    <w:r>
      <w:rPr>
        <w:b/>
        <w:bCs/>
        <w:szCs w:val="20"/>
      </w:rPr>
      <w:t>August</w:t>
    </w:r>
    <w:r w:rsidR="001218E1">
      <w:rPr>
        <w:b/>
        <w:bCs/>
        <w:szCs w:val="20"/>
      </w:rPr>
      <w:t xml:space="preserve"> 2013</w:t>
    </w:r>
  </w:p>
  <w:p w14:paraId="60644177" w14:textId="77777777" w:rsidR="001218E1" w:rsidRDefault="00121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4A49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6382EF22"/>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6DF4ABB"/>
    <w:multiLevelType w:val="hybridMultilevel"/>
    <w:tmpl w:val="31282CCC"/>
    <w:lvl w:ilvl="0" w:tplc="04090001">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0157970"/>
    <w:multiLevelType w:val="hybridMultilevel"/>
    <w:tmpl w:val="110A24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F2341D"/>
    <w:multiLevelType w:val="hybridMultilevel"/>
    <w:tmpl w:val="16504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EA07DC"/>
    <w:multiLevelType w:val="hybridMultilevel"/>
    <w:tmpl w:val="79BA4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7F645A"/>
    <w:multiLevelType w:val="hybridMultilevel"/>
    <w:tmpl w:val="5A2A6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806072"/>
    <w:multiLevelType w:val="hybridMultilevel"/>
    <w:tmpl w:val="946EDACC"/>
    <w:lvl w:ilvl="0" w:tplc="3124E36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0CF38BF"/>
    <w:multiLevelType w:val="hybridMultilevel"/>
    <w:tmpl w:val="6F6CFEB6"/>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Arial"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Arial"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Arial"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3">
    <w:nsid w:val="327A40ED"/>
    <w:multiLevelType w:val="hybridMultilevel"/>
    <w:tmpl w:val="132A9382"/>
    <w:lvl w:ilvl="0" w:tplc="230C02D0">
      <w:start w:val="1"/>
      <w:numFmt w:val="decimal"/>
      <w:lvlText w:val="B.%1."/>
      <w:lvlJc w:val="left"/>
      <w:pPr>
        <w:tabs>
          <w:tab w:val="num" w:pos="360"/>
        </w:tabs>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E520749"/>
    <w:multiLevelType w:val="hybridMultilevel"/>
    <w:tmpl w:val="5914E49E"/>
    <w:lvl w:ilvl="0" w:tplc="9D5E8A02">
      <w:start w:val="1"/>
      <w:numFmt w:val="decimal"/>
      <w:lvlText w:val="(%1)"/>
      <w:lvlJc w:val="left"/>
      <w:pPr>
        <w:tabs>
          <w:tab w:val="num" w:pos="1080"/>
        </w:tabs>
        <w:ind w:left="1080" w:hanging="360"/>
      </w:pPr>
      <w:rPr>
        <w:rFonts w:hint="default"/>
        <w:b w:val="0"/>
        <w:i w:val="0"/>
        <w:color w:val="auto"/>
        <w:sz w:val="24"/>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FB1461"/>
    <w:multiLevelType w:val="hybridMultilevel"/>
    <w:tmpl w:val="173CD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49824A78"/>
    <w:multiLevelType w:val="hybridMultilevel"/>
    <w:tmpl w:val="AF54D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D7109"/>
    <w:multiLevelType w:val="hybridMultilevel"/>
    <w:tmpl w:val="7DC42674"/>
    <w:lvl w:ilvl="0" w:tplc="6E565238">
      <w:start w:val="1"/>
      <w:numFmt w:val="decimal"/>
      <w:lvlText w:val="A.%1."/>
      <w:lvlJc w:val="lef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F316228"/>
    <w:multiLevelType w:val="hybridMultilevel"/>
    <w:tmpl w:val="D14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88125EC"/>
    <w:multiLevelType w:val="hybridMultilevel"/>
    <w:tmpl w:val="5914E49E"/>
    <w:lvl w:ilvl="0" w:tplc="9D5E8A02">
      <w:start w:val="1"/>
      <w:numFmt w:val="decimal"/>
      <w:lvlText w:val="(%1)"/>
      <w:lvlJc w:val="left"/>
      <w:pPr>
        <w:tabs>
          <w:tab w:val="num" w:pos="1080"/>
        </w:tabs>
        <w:ind w:left="1080" w:hanging="360"/>
      </w:pPr>
      <w:rPr>
        <w:rFonts w:hint="default"/>
        <w:b w:val="0"/>
        <w:i w:val="0"/>
        <w:color w:val="auto"/>
        <w:sz w:val="24"/>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DF1290E"/>
    <w:multiLevelType w:val="hybridMultilevel"/>
    <w:tmpl w:val="7E5AD6AA"/>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0C15D3"/>
    <w:multiLevelType w:val="hybridMultilevel"/>
    <w:tmpl w:val="CEF2BD4C"/>
    <w:lvl w:ilvl="0" w:tplc="9C7E18B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F70268D"/>
    <w:multiLevelType w:val="hybridMultilevel"/>
    <w:tmpl w:val="8B0CC900"/>
    <w:lvl w:ilvl="0" w:tplc="04090003">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Wingdings"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Wingdings"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9">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9233997"/>
    <w:multiLevelType w:val="hybridMultilevel"/>
    <w:tmpl w:val="EC507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B9036B"/>
    <w:multiLevelType w:val="hybridMultilevel"/>
    <w:tmpl w:val="BC5CBF94"/>
    <w:lvl w:ilvl="0" w:tplc="BB5C3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72C124C3"/>
    <w:multiLevelType w:val="hybridMultilevel"/>
    <w:tmpl w:val="2BC6C3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79B974A1"/>
    <w:multiLevelType w:val="hybridMultilevel"/>
    <w:tmpl w:val="BE96FD58"/>
    <w:lvl w:ilvl="0" w:tplc="8A4C17FE">
      <w:start w:val="1"/>
      <w:numFmt w:val="bullet"/>
      <w:lvlText w:val=""/>
      <w:lvlJc w:val="left"/>
      <w:pPr>
        <w:tabs>
          <w:tab w:val="num" w:pos="2160"/>
        </w:tabs>
        <w:ind w:left="2160" w:hanging="360"/>
      </w:pPr>
      <w:rPr>
        <w:rFonts w:ascii="Symbol" w:hAnsi="Symbol" w:hint="default"/>
      </w:rPr>
    </w:lvl>
    <w:lvl w:ilvl="1" w:tplc="D294FE5C">
      <w:start w:val="1"/>
      <w:numFmt w:val="decimal"/>
      <w:lvlText w:val="%2."/>
      <w:lvlJc w:val="left"/>
      <w:pPr>
        <w:tabs>
          <w:tab w:val="num" w:pos="2880"/>
        </w:tabs>
        <w:ind w:left="2880" w:hanging="360"/>
      </w:pPr>
      <w:rPr>
        <w:rFonts w:hint="default"/>
        <w:b w:val="0"/>
      </w:rPr>
    </w:lvl>
    <w:lvl w:ilvl="2" w:tplc="9A903106">
      <w:start w:val="1"/>
      <w:numFmt w:val="bullet"/>
      <w:lvlText w:val=""/>
      <w:lvlJc w:val="left"/>
      <w:pPr>
        <w:tabs>
          <w:tab w:val="num" w:pos="3600"/>
        </w:tabs>
        <w:ind w:left="3600" w:hanging="360"/>
      </w:pPr>
      <w:rPr>
        <w:rFonts w:ascii="Symbol" w:hAnsi="Symbol" w:hint="default"/>
      </w:rPr>
    </w:lvl>
    <w:lvl w:ilvl="3" w:tplc="2EC218F4" w:tentative="1">
      <w:start w:val="1"/>
      <w:numFmt w:val="bullet"/>
      <w:lvlText w:val=""/>
      <w:lvlJc w:val="left"/>
      <w:pPr>
        <w:tabs>
          <w:tab w:val="num" w:pos="4320"/>
        </w:tabs>
        <w:ind w:left="4320" w:hanging="360"/>
      </w:pPr>
      <w:rPr>
        <w:rFonts w:ascii="Symbol" w:hAnsi="Symbol" w:hint="default"/>
      </w:rPr>
    </w:lvl>
    <w:lvl w:ilvl="4" w:tplc="C156A218" w:tentative="1">
      <w:start w:val="1"/>
      <w:numFmt w:val="bullet"/>
      <w:lvlText w:val="o"/>
      <w:lvlJc w:val="left"/>
      <w:pPr>
        <w:tabs>
          <w:tab w:val="num" w:pos="5040"/>
        </w:tabs>
        <w:ind w:left="5040" w:hanging="360"/>
      </w:pPr>
      <w:rPr>
        <w:rFonts w:ascii="Courier New" w:hAnsi="Courier New" w:cs="Wingdings" w:hint="default"/>
      </w:rPr>
    </w:lvl>
    <w:lvl w:ilvl="5" w:tplc="DCF8C034" w:tentative="1">
      <w:start w:val="1"/>
      <w:numFmt w:val="bullet"/>
      <w:lvlText w:val=""/>
      <w:lvlJc w:val="left"/>
      <w:pPr>
        <w:tabs>
          <w:tab w:val="num" w:pos="5760"/>
        </w:tabs>
        <w:ind w:left="5760" w:hanging="360"/>
      </w:pPr>
      <w:rPr>
        <w:rFonts w:ascii="Wingdings" w:hAnsi="Wingdings" w:hint="default"/>
      </w:rPr>
    </w:lvl>
    <w:lvl w:ilvl="6" w:tplc="3C76C688" w:tentative="1">
      <w:start w:val="1"/>
      <w:numFmt w:val="bullet"/>
      <w:lvlText w:val=""/>
      <w:lvlJc w:val="left"/>
      <w:pPr>
        <w:tabs>
          <w:tab w:val="num" w:pos="6480"/>
        </w:tabs>
        <w:ind w:left="6480" w:hanging="360"/>
      </w:pPr>
      <w:rPr>
        <w:rFonts w:ascii="Symbol" w:hAnsi="Symbol" w:hint="default"/>
      </w:rPr>
    </w:lvl>
    <w:lvl w:ilvl="7" w:tplc="0B96E72C" w:tentative="1">
      <w:start w:val="1"/>
      <w:numFmt w:val="bullet"/>
      <w:lvlText w:val="o"/>
      <w:lvlJc w:val="left"/>
      <w:pPr>
        <w:tabs>
          <w:tab w:val="num" w:pos="7200"/>
        </w:tabs>
        <w:ind w:left="7200" w:hanging="360"/>
      </w:pPr>
      <w:rPr>
        <w:rFonts w:ascii="Courier New" w:hAnsi="Courier New" w:cs="Wingdings" w:hint="default"/>
      </w:rPr>
    </w:lvl>
    <w:lvl w:ilvl="8" w:tplc="458C5C9C" w:tentative="1">
      <w:start w:val="1"/>
      <w:numFmt w:val="bullet"/>
      <w:lvlText w:val=""/>
      <w:lvlJc w:val="left"/>
      <w:pPr>
        <w:tabs>
          <w:tab w:val="num" w:pos="7920"/>
        </w:tabs>
        <w:ind w:left="7920" w:hanging="360"/>
      </w:pPr>
      <w:rPr>
        <w:rFonts w:ascii="Wingdings" w:hAnsi="Wingdings" w:hint="default"/>
      </w:rPr>
    </w:lvl>
  </w:abstractNum>
  <w:num w:numId="1">
    <w:abstractNumId w:val="18"/>
  </w:num>
  <w:num w:numId="2">
    <w:abstractNumId w:val="19"/>
  </w:num>
  <w:num w:numId="3">
    <w:abstractNumId w:val="5"/>
  </w:num>
  <w:num w:numId="4">
    <w:abstractNumId w:val="2"/>
  </w:num>
  <w:num w:numId="5">
    <w:abstractNumId w:val="28"/>
  </w:num>
  <w:num w:numId="6">
    <w:abstractNumId w:val="25"/>
  </w:num>
  <w:num w:numId="7">
    <w:abstractNumId w:val="27"/>
  </w:num>
  <w:num w:numId="8">
    <w:abstractNumId w:val="35"/>
  </w:num>
  <w:num w:numId="9">
    <w:abstractNumId w:val="34"/>
  </w:num>
  <w:num w:numId="10">
    <w:abstractNumId w:val="4"/>
  </w:num>
  <w:num w:numId="11">
    <w:abstractNumId w:val="14"/>
  </w:num>
  <w:num w:numId="12">
    <w:abstractNumId w:val="32"/>
  </w:num>
  <w:num w:numId="13">
    <w:abstractNumId w:val="29"/>
  </w:num>
  <w:num w:numId="14">
    <w:abstractNumId w:val="23"/>
  </w:num>
  <w:num w:numId="15">
    <w:abstractNumId w:val="6"/>
  </w:num>
  <w:num w:numId="16">
    <w:abstractNumId w:val="24"/>
  </w:num>
  <w:num w:numId="17">
    <w:abstractNumId w:val="20"/>
  </w:num>
  <w:num w:numId="18">
    <w:abstractNumId w:val="7"/>
  </w:num>
  <w:num w:numId="19">
    <w:abstractNumId w:val="3"/>
  </w:num>
  <w:num w:numId="20">
    <w:abstractNumId w:val="0"/>
  </w:num>
  <w:num w:numId="21">
    <w:abstractNumId w:val="30"/>
  </w:num>
  <w:num w:numId="22">
    <w:abstractNumId w:val="26"/>
  </w:num>
  <w:num w:numId="23">
    <w:abstractNumId w:val="10"/>
  </w:num>
  <w:num w:numId="24">
    <w:abstractNumId w:val="9"/>
  </w:num>
  <w:num w:numId="25">
    <w:abstractNumId w:val="8"/>
  </w:num>
  <w:num w:numId="26">
    <w:abstractNumId w:val="31"/>
  </w:num>
  <w:num w:numId="27">
    <w:abstractNumId w:val="12"/>
  </w:num>
  <w:num w:numId="28">
    <w:abstractNumId w:val="33"/>
  </w:num>
  <w:num w:numId="29">
    <w:abstractNumId w:val="13"/>
  </w:num>
  <w:num w:numId="30">
    <w:abstractNumId w:val="15"/>
  </w:num>
  <w:num w:numId="31">
    <w:abstractNumId w:val="22"/>
  </w:num>
  <w:num w:numId="32">
    <w:abstractNumId w:val="11"/>
  </w:num>
  <w:num w:numId="33">
    <w:abstractNumId w:val="17"/>
  </w:num>
  <w:num w:numId="34">
    <w:abstractNumId w:val="1"/>
    <w:lvlOverride w:ilvl="0">
      <w:lvl w:ilvl="0">
        <w:start w:val="1"/>
        <w:numFmt w:val="decimal"/>
        <w:pStyle w:val="Quick1"/>
        <w:lvlText w:val="%1."/>
        <w:lvlJc w:val="left"/>
        <w:pPr>
          <w:tabs>
            <w:tab w:val="num" w:pos="360"/>
          </w:tabs>
          <w:ind w:left="360" w:hanging="360"/>
        </w:pPr>
      </w:lvl>
    </w:lvlOverride>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86"/>
    <w:rsid w:val="00000D0F"/>
    <w:rsid w:val="00003231"/>
    <w:rsid w:val="0001591A"/>
    <w:rsid w:val="00036962"/>
    <w:rsid w:val="00050B2C"/>
    <w:rsid w:val="00056C80"/>
    <w:rsid w:val="00080098"/>
    <w:rsid w:val="000834C8"/>
    <w:rsid w:val="000839A6"/>
    <w:rsid w:val="000C0DED"/>
    <w:rsid w:val="000C302B"/>
    <w:rsid w:val="000C7C77"/>
    <w:rsid w:val="000D38C2"/>
    <w:rsid w:val="000D3A04"/>
    <w:rsid w:val="000F09C6"/>
    <w:rsid w:val="001016B9"/>
    <w:rsid w:val="00113C1E"/>
    <w:rsid w:val="001168E9"/>
    <w:rsid w:val="001218E1"/>
    <w:rsid w:val="00147D08"/>
    <w:rsid w:val="00150C4B"/>
    <w:rsid w:val="00152E2E"/>
    <w:rsid w:val="00161D5C"/>
    <w:rsid w:val="001C3AB9"/>
    <w:rsid w:val="001D02E7"/>
    <w:rsid w:val="001D55C6"/>
    <w:rsid w:val="001E36CC"/>
    <w:rsid w:val="001F11FF"/>
    <w:rsid w:val="00200DA9"/>
    <w:rsid w:val="00206A61"/>
    <w:rsid w:val="00224E0D"/>
    <w:rsid w:val="002307A2"/>
    <w:rsid w:val="00232EAD"/>
    <w:rsid w:val="00234336"/>
    <w:rsid w:val="00247BFA"/>
    <w:rsid w:val="002654A9"/>
    <w:rsid w:val="00267DD6"/>
    <w:rsid w:val="00271327"/>
    <w:rsid w:val="00287B82"/>
    <w:rsid w:val="002A2A88"/>
    <w:rsid w:val="002A4230"/>
    <w:rsid w:val="002A54D3"/>
    <w:rsid w:val="002B59BA"/>
    <w:rsid w:val="002C40CF"/>
    <w:rsid w:val="002E4554"/>
    <w:rsid w:val="003016B2"/>
    <w:rsid w:val="00302A26"/>
    <w:rsid w:val="00303D8B"/>
    <w:rsid w:val="003045E1"/>
    <w:rsid w:val="00315504"/>
    <w:rsid w:val="00321225"/>
    <w:rsid w:val="003349C6"/>
    <w:rsid w:val="003365E1"/>
    <w:rsid w:val="00337826"/>
    <w:rsid w:val="003451DF"/>
    <w:rsid w:val="003462D5"/>
    <w:rsid w:val="003470E2"/>
    <w:rsid w:val="00352C78"/>
    <w:rsid w:val="00360F5D"/>
    <w:rsid w:val="0037692A"/>
    <w:rsid w:val="003778F8"/>
    <w:rsid w:val="00382AD9"/>
    <w:rsid w:val="00386514"/>
    <w:rsid w:val="00386D05"/>
    <w:rsid w:val="003C7C26"/>
    <w:rsid w:val="003D0856"/>
    <w:rsid w:val="003D1C3E"/>
    <w:rsid w:val="003D59BD"/>
    <w:rsid w:val="003E6161"/>
    <w:rsid w:val="00400EC8"/>
    <w:rsid w:val="00412991"/>
    <w:rsid w:val="00423E86"/>
    <w:rsid w:val="00434497"/>
    <w:rsid w:val="0043752D"/>
    <w:rsid w:val="00454EDD"/>
    <w:rsid w:val="00467A45"/>
    <w:rsid w:val="0047203C"/>
    <w:rsid w:val="00473A2D"/>
    <w:rsid w:val="00473B2E"/>
    <w:rsid w:val="00495789"/>
    <w:rsid w:val="004979C9"/>
    <w:rsid w:val="004A145F"/>
    <w:rsid w:val="004F72B5"/>
    <w:rsid w:val="00503E4B"/>
    <w:rsid w:val="00534543"/>
    <w:rsid w:val="005400D0"/>
    <w:rsid w:val="0054583C"/>
    <w:rsid w:val="00546960"/>
    <w:rsid w:val="00554DBA"/>
    <w:rsid w:val="00571030"/>
    <w:rsid w:val="00573A5C"/>
    <w:rsid w:val="00576DC7"/>
    <w:rsid w:val="00576FDE"/>
    <w:rsid w:val="0058013B"/>
    <w:rsid w:val="005802D3"/>
    <w:rsid w:val="0059665D"/>
    <w:rsid w:val="005A35A8"/>
    <w:rsid w:val="005A56C0"/>
    <w:rsid w:val="005B3541"/>
    <w:rsid w:val="005B566F"/>
    <w:rsid w:val="005C2428"/>
    <w:rsid w:val="005C4B31"/>
    <w:rsid w:val="005C5708"/>
    <w:rsid w:val="005E1FB8"/>
    <w:rsid w:val="006157D1"/>
    <w:rsid w:val="0062369F"/>
    <w:rsid w:val="006629F3"/>
    <w:rsid w:val="00663B42"/>
    <w:rsid w:val="00677461"/>
    <w:rsid w:val="006A0C80"/>
    <w:rsid w:val="006A14C9"/>
    <w:rsid w:val="006A3513"/>
    <w:rsid w:val="006A4C18"/>
    <w:rsid w:val="00710426"/>
    <w:rsid w:val="007108D6"/>
    <w:rsid w:val="007129BD"/>
    <w:rsid w:val="0071310B"/>
    <w:rsid w:val="00735474"/>
    <w:rsid w:val="00735D10"/>
    <w:rsid w:val="0073696C"/>
    <w:rsid w:val="0074128F"/>
    <w:rsid w:val="00741A16"/>
    <w:rsid w:val="007421B4"/>
    <w:rsid w:val="00742439"/>
    <w:rsid w:val="0076395C"/>
    <w:rsid w:val="00786FF5"/>
    <w:rsid w:val="007C45C0"/>
    <w:rsid w:val="007E3A31"/>
    <w:rsid w:val="007F7C49"/>
    <w:rsid w:val="00810C5D"/>
    <w:rsid w:val="008115A6"/>
    <w:rsid w:val="00827FE4"/>
    <w:rsid w:val="00833CBD"/>
    <w:rsid w:val="00840D95"/>
    <w:rsid w:val="008446E2"/>
    <w:rsid w:val="008448DF"/>
    <w:rsid w:val="00855ABA"/>
    <w:rsid w:val="00857811"/>
    <w:rsid w:val="00880F08"/>
    <w:rsid w:val="008B099A"/>
    <w:rsid w:val="008B7930"/>
    <w:rsid w:val="008C55D0"/>
    <w:rsid w:val="008C6A2E"/>
    <w:rsid w:val="008D673B"/>
    <w:rsid w:val="008E0ABA"/>
    <w:rsid w:val="008F2549"/>
    <w:rsid w:val="008F54F4"/>
    <w:rsid w:val="008F76E5"/>
    <w:rsid w:val="00902378"/>
    <w:rsid w:val="00933D50"/>
    <w:rsid w:val="0093505F"/>
    <w:rsid w:val="009466E1"/>
    <w:rsid w:val="009615BE"/>
    <w:rsid w:val="009619BA"/>
    <w:rsid w:val="00971DA9"/>
    <w:rsid w:val="00974E9F"/>
    <w:rsid w:val="00987D8A"/>
    <w:rsid w:val="009A377C"/>
    <w:rsid w:val="009A7EEC"/>
    <w:rsid w:val="009C01E8"/>
    <w:rsid w:val="009E1684"/>
    <w:rsid w:val="00A07615"/>
    <w:rsid w:val="00A17B67"/>
    <w:rsid w:val="00A44101"/>
    <w:rsid w:val="00A60F25"/>
    <w:rsid w:val="00A62247"/>
    <w:rsid w:val="00A670A7"/>
    <w:rsid w:val="00A676B4"/>
    <w:rsid w:val="00AA46BC"/>
    <w:rsid w:val="00AA6ABE"/>
    <w:rsid w:val="00AA7214"/>
    <w:rsid w:val="00AB4657"/>
    <w:rsid w:val="00AC3617"/>
    <w:rsid w:val="00AC4054"/>
    <w:rsid w:val="00AD63C6"/>
    <w:rsid w:val="00AF218A"/>
    <w:rsid w:val="00B20584"/>
    <w:rsid w:val="00B25EAA"/>
    <w:rsid w:val="00B3717C"/>
    <w:rsid w:val="00B4035B"/>
    <w:rsid w:val="00B51B33"/>
    <w:rsid w:val="00B633E6"/>
    <w:rsid w:val="00B77EB7"/>
    <w:rsid w:val="00B819EC"/>
    <w:rsid w:val="00B87F49"/>
    <w:rsid w:val="00BA4145"/>
    <w:rsid w:val="00BB381E"/>
    <w:rsid w:val="00BD2341"/>
    <w:rsid w:val="00BD304F"/>
    <w:rsid w:val="00BE5867"/>
    <w:rsid w:val="00C1002C"/>
    <w:rsid w:val="00C1594A"/>
    <w:rsid w:val="00C27503"/>
    <w:rsid w:val="00C35BAD"/>
    <w:rsid w:val="00C41113"/>
    <w:rsid w:val="00C52D8C"/>
    <w:rsid w:val="00C53BDC"/>
    <w:rsid w:val="00C65F86"/>
    <w:rsid w:val="00C926E6"/>
    <w:rsid w:val="00C952EF"/>
    <w:rsid w:val="00CC5D17"/>
    <w:rsid w:val="00CD46D5"/>
    <w:rsid w:val="00CE2E47"/>
    <w:rsid w:val="00D21D29"/>
    <w:rsid w:val="00D21D82"/>
    <w:rsid w:val="00D26B43"/>
    <w:rsid w:val="00D33F3B"/>
    <w:rsid w:val="00D46538"/>
    <w:rsid w:val="00D54D13"/>
    <w:rsid w:val="00D64554"/>
    <w:rsid w:val="00DE5F5C"/>
    <w:rsid w:val="00DE6064"/>
    <w:rsid w:val="00DF4F83"/>
    <w:rsid w:val="00DF5197"/>
    <w:rsid w:val="00E15867"/>
    <w:rsid w:val="00E235A1"/>
    <w:rsid w:val="00E33EC4"/>
    <w:rsid w:val="00E43647"/>
    <w:rsid w:val="00E53395"/>
    <w:rsid w:val="00E66AA3"/>
    <w:rsid w:val="00E77087"/>
    <w:rsid w:val="00E828F9"/>
    <w:rsid w:val="00EA5E69"/>
    <w:rsid w:val="00EC14D2"/>
    <w:rsid w:val="00EE0E7D"/>
    <w:rsid w:val="00EF1BF1"/>
    <w:rsid w:val="00F059D5"/>
    <w:rsid w:val="00F109B6"/>
    <w:rsid w:val="00F11C40"/>
    <w:rsid w:val="00F1668F"/>
    <w:rsid w:val="00F256E6"/>
    <w:rsid w:val="00F30257"/>
    <w:rsid w:val="00F4016D"/>
    <w:rsid w:val="00F415A5"/>
    <w:rsid w:val="00F47B67"/>
    <w:rsid w:val="00F534F5"/>
    <w:rsid w:val="00F53CB1"/>
    <w:rsid w:val="00F54575"/>
    <w:rsid w:val="00F61F6E"/>
    <w:rsid w:val="00F6355B"/>
    <w:rsid w:val="00F87A2B"/>
    <w:rsid w:val="00F94A0A"/>
    <w:rsid w:val="00FC01F9"/>
    <w:rsid w:val="00FC7D24"/>
    <w:rsid w:val="00FD4E29"/>
    <w:rsid w:val="00FD5C52"/>
    <w:rsid w:val="00FD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09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8013B"/>
    <w:pPr>
      <w:widowControl w:val="0"/>
      <w:autoSpaceDE w:val="0"/>
      <w:autoSpaceDN w:val="0"/>
      <w:adjustRightInd w:val="0"/>
    </w:pPr>
    <w:rPr>
      <w:szCs w:val="24"/>
    </w:rPr>
  </w:style>
  <w:style w:type="paragraph" w:styleId="Heading1">
    <w:name w:val="heading 1"/>
    <w:basedOn w:val="Normal"/>
    <w:next w:val="Normal"/>
    <w:qFormat/>
    <w:rsid w:val="000839A6"/>
    <w:pPr>
      <w:keepNext/>
      <w:outlineLvl w:val="0"/>
    </w:pPr>
    <w:rPr>
      <w:b/>
      <w:bCs/>
      <w:sz w:val="28"/>
    </w:rPr>
  </w:style>
  <w:style w:type="paragraph" w:styleId="Heading2">
    <w:name w:val="heading 2"/>
    <w:basedOn w:val="Normal"/>
    <w:next w:val="Normal"/>
    <w:qFormat/>
    <w:rsid w:val="000839A6"/>
    <w:pPr>
      <w:keepNext/>
      <w:spacing w:before="240" w:after="60"/>
      <w:outlineLvl w:val="1"/>
    </w:pPr>
    <w:rPr>
      <w:b/>
      <w:sz w:val="24"/>
      <w:szCs w:val="28"/>
    </w:rPr>
  </w:style>
  <w:style w:type="paragraph" w:styleId="Heading3">
    <w:name w:val="heading 3"/>
    <w:basedOn w:val="Heading2"/>
    <w:next w:val="Normal"/>
    <w:qFormat/>
    <w:rsid w:val="000839A6"/>
    <w:pPr>
      <w:ind w:left="720"/>
      <w:outlineLvl w:val="2"/>
    </w:pPr>
    <w:rPr>
      <w:szCs w:val="26"/>
    </w:rPr>
  </w:style>
  <w:style w:type="paragraph" w:styleId="Heading4">
    <w:name w:val="heading 4"/>
    <w:basedOn w:val="Normal"/>
    <w:next w:val="Normal"/>
    <w:qFormat/>
    <w:rsid w:val="003D0646"/>
    <w:pPr>
      <w:keepNext/>
      <w:widowControl/>
      <w:tabs>
        <w:tab w:val="num" w:pos="864"/>
      </w:tabs>
      <w:autoSpaceDE/>
      <w:autoSpaceDN/>
      <w:adjustRightInd/>
      <w:spacing w:before="240" w:after="60"/>
      <w:ind w:left="864" w:hanging="864"/>
      <w:outlineLvl w:val="3"/>
    </w:pPr>
    <w:rPr>
      <w:b/>
      <w:bCs/>
      <w:sz w:val="28"/>
      <w:szCs w:val="28"/>
    </w:rPr>
  </w:style>
  <w:style w:type="paragraph" w:styleId="Heading5">
    <w:name w:val="heading 5"/>
    <w:basedOn w:val="Normal"/>
    <w:next w:val="Normal"/>
    <w:qFormat/>
    <w:rsid w:val="003D0646"/>
    <w:pPr>
      <w:widowControl/>
      <w:tabs>
        <w:tab w:val="num" w:pos="1008"/>
      </w:tabs>
      <w:autoSpaceDE/>
      <w:autoSpaceDN/>
      <w:adjustRightInd/>
      <w:spacing w:before="240" w:after="60"/>
      <w:ind w:left="1008" w:hanging="1008"/>
      <w:outlineLvl w:val="4"/>
    </w:pPr>
    <w:rPr>
      <w:b/>
      <w:bCs/>
      <w:i/>
      <w:iCs/>
      <w:sz w:val="26"/>
      <w:szCs w:val="26"/>
    </w:rPr>
  </w:style>
  <w:style w:type="paragraph" w:styleId="Heading6">
    <w:name w:val="heading 6"/>
    <w:basedOn w:val="Normal"/>
    <w:next w:val="Normal"/>
    <w:qFormat/>
    <w:rsid w:val="003D0646"/>
    <w:pPr>
      <w:widowControl/>
      <w:tabs>
        <w:tab w:val="num" w:pos="1152"/>
      </w:tabs>
      <w:autoSpaceDE/>
      <w:autoSpaceDN/>
      <w:adjustRightInd/>
      <w:spacing w:before="240" w:after="60"/>
      <w:ind w:left="1152" w:hanging="1152"/>
      <w:outlineLvl w:val="5"/>
    </w:pPr>
    <w:rPr>
      <w:b/>
      <w:bCs/>
      <w:sz w:val="22"/>
      <w:szCs w:val="22"/>
    </w:rPr>
  </w:style>
  <w:style w:type="paragraph" w:styleId="Heading7">
    <w:name w:val="heading 7"/>
    <w:basedOn w:val="Normal"/>
    <w:next w:val="Normal"/>
    <w:qFormat/>
    <w:rsid w:val="003D0646"/>
    <w:pPr>
      <w:widowControl/>
      <w:tabs>
        <w:tab w:val="num" w:pos="1296"/>
      </w:tabs>
      <w:autoSpaceDE/>
      <w:autoSpaceDN/>
      <w:adjustRightInd/>
      <w:spacing w:before="240" w:after="60"/>
      <w:ind w:left="1296" w:hanging="1296"/>
      <w:outlineLvl w:val="6"/>
    </w:pPr>
    <w:rPr>
      <w:sz w:val="24"/>
    </w:rPr>
  </w:style>
  <w:style w:type="paragraph" w:styleId="Heading8">
    <w:name w:val="heading 8"/>
    <w:basedOn w:val="Normal"/>
    <w:next w:val="Normal"/>
    <w:qFormat/>
    <w:rsid w:val="003D0646"/>
    <w:pPr>
      <w:widowControl/>
      <w:tabs>
        <w:tab w:val="num" w:pos="1440"/>
      </w:tabs>
      <w:autoSpaceDE/>
      <w:autoSpaceDN/>
      <w:adjustRightInd/>
      <w:spacing w:before="240" w:after="60"/>
      <w:ind w:left="1440" w:hanging="1440"/>
      <w:outlineLvl w:val="7"/>
    </w:pPr>
    <w:rPr>
      <w:i/>
      <w:iCs/>
      <w:sz w:val="24"/>
    </w:rPr>
  </w:style>
  <w:style w:type="paragraph" w:styleId="Heading9">
    <w:name w:val="heading 9"/>
    <w:basedOn w:val="Normal"/>
    <w:next w:val="Normal"/>
    <w:qFormat/>
    <w:rsid w:val="003D0646"/>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8013B"/>
  </w:style>
  <w:style w:type="paragraph" w:styleId="BodyTextIndent">
    <w:name w:val="Body Text Indent"/>
    <w:basedOn w:val="Normal"/>
    <w:rsid w:val="0058013B"/>
    <w:pPr>
      <w:ind w:left="720"/>
    </w:pPr>
    <w:rPr>
      <w:rFonts w:ascii="Baskerville Old Face" w:hAnsi="Baskerville Old Face"/>
      <w:sz w:val="24"/>
    </w:rPr>
  </w:style>
  <w:style w:type="table" w:styleId="TableGrid">
    <w:name w:val="Table Grid"/>
    <w:basedOn w:val="TableNormal"/>
    <w:rsid w:val="005801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rsid w:val="00DB40C1"/>
    <w:pPr>
      <w:spacing w:line="240" w:lineRule="atLeast"/>
      <w:jc w:val="both"/>
    </w:pPr>
    <w:rPr>
      <w:sz w:val="22"/>
    </w:rPr>
  </w:style>
  <w:style w:type="paragraph" w:styleId="FootnoteText">
    <w:name w:val="footnote text"/>
    <w:basedOn w:val="Normal"/>
    <w:link w:val="FootnoteTextChar"/>
    <w:rsid w:val="00DB40C1"/>
    <w:pPr>
      <w:widowControl/>
      <w:autoSpaceDE/>
      <w:autoSpaceDN/>
      <w:adjustRightInd/>
    </w:pPr>
    <w:rPr>
      <w:szCs w:val="20"/>
    </w:rPr>
  </w:style>
  <w:style w:type="character" w:styleId="Hyperlink">
    <w:name w:val="Hyperlink"/>
    <w:uiPriority w:val="99"/>
    <w:rsid w:val="003D0646"/>
    <w:rPr>
      <w:color w:val="0000FF"/>
      <w:u w:val="single"/>
    </w:rPr>
  </w:style>
  <w:style w:type="paragraph" w:customStyle="1" w:styleId="ParagraphSSLAST">
    <w:name w:val="ParagraphSS (LAST)"/>
    <w:basedOn w:val="Normal"/>
    <w:next w:val="Normal"/>
    <w:rsid w:val="003D0646"/>
    <w:pPr>
      <w:widowControl/>
      <w:tabs>
        <w:tab w:val="left" w:pos="432"/>
      </w:tabs>
      <w:autoSpaceDE/>
      <w:autoSpaceDN/>
      <w:adjustRightInd/>
      <w:spacing w:after="360"/>
      <w:ind w:firstLine="432"/>
      <w:jc w:val="both"/>
    </w:pPr>
    <w:rPr>
      <w:sz w:val="24"/>
      <w:szCs w:val="20"/>
    </w:rPr>
  </w:style>
  <w:style w:type="paragraph" w:customStyle="1" w:styleId="Title1">
    <w:name w:val="Title1"/>
    <w:basedOn w:val="Normal"/>
    <w:rsid w:val="003D0646"/>
    <w:pPr>
      <w:widowControl/>
      <w:autoSpaceDE/>
      <w:autoSpaceDN/>
      <w:adjustRightInd/>
      <w:spacing w:line="600" w:lineRule="exact"/>
    </w:pPr>
    <w:rPr>
      <w:rFonts w:ascii="Futura-Book" w:hAnsi="Futura-Book"/>
      <w:color w:val="000000"/>
      <w:sz w:val="48"/>
      <w:szCs w:val="20"/>
    </w:rPr>
  </w:style>
  <w:style w:type="paragraph" w:customStyle="1" w:styleId="INFO">
    <w:name w:val="INFO"/>
    <w:basedOn w:val="Title1"/>
    <w:rsid w:val="003D0646"/>
    <w:pPr>
      <w:spacing w:after="120" w:line="240" w:lineRule="exact"/>
    </w:pPr>
    <w:rPr>
      <w:rFonts w:ascii="Futura Std Book" w:hAnsi="Futura Std Book"/>
      <w:sz w:val="16"/>
    </w:rPr>
  </w:style>
  <w:style w:type="paragraph" w:customStyle="1" w:styleId="AUTHOR">
    <w:name w:val="AUTHOR"/>
    <w:basedOn w:val="Title1"/>
    <w:next w:val="INFO"/>
    <w:rsid w:val="003D0646"/>
    <w:pPr>
      <w:spacing w:line="300" w:lineRule="exact"/>
    </w:pPr>
    <w:rPr>
      <w:caps/>
      <w:sz w:val="24"/>
    </w:rPr>
  </w:style>
  <w:style w:type="paragraph" w:customStyle="1" w:styleId="SUB-TITLE">
    <w:name w:val="SUB-TITLE"/>
    <w:basedOn w:val="Title1"/>
    <w:next w:val="AUTHOR"/>
    <w:rsid w:val="003D0646"/>
    <w:pPr>
      <w:spacing w:before="360" w:line="480" w:lineRule="exact"/>
    </w:pPr>
    <w:rPr>
      <w:sz w:val="36"/>
    </w:rPr>
  </w:style>
  <w:style w:type="paragraph" w:styleId="TOC1">
    <w:name w:val="toc 1"/>
    <w:basedOn w:val="Normal"/>
    <w:next w:val="Normal"/>
    <w:autoRedefine/>
    <w:uiPriority w:val="39"/>
    <w:rsid w:val="001844AA"/>
    <w:pPr>
      <w:widowControl/>
      <w:tabs>
        <w:tab w:val="left" w:pos="440"/>
        <w:tab w:val="right" w:leader="dot" w:pos="9350"/>
      </w:tabs>
      <w:autoSpaceDE/>
      <w:autoSpaceDN/>
      <w:adjustRightInd/>
      <w:spacing w:before="120" w:after="120"/>
    </w:pPr>
    <w:rPr>
      <w:b/>
      <w:bCs/>
      <w:noProof/>
      <w:szCs w:val="20"/>
    </w:rPr>
  </w:style>
  <w:style w:type="paragraph" w:styleId="ListParagraph">
    <w:name w:val="List Paragraph"/>
    <w:basedOn w:val="Normal"/>
    <w:uiPriority w:val="34"/>
    <w:qFormat/>
    <w:rsid w:val="003D0646"/>
    <w:pPr>
      <w:widowControl/>
      <w:autoSpaceDE/>
      <w:autoSpaceDN/>
      <w:adjustRightInd/>
      <w:ind w:left="720"/>
      <w:contextualSpacing/>
    </w:pPr>
    <w:rPr>
      <w:sz w:val="24"/>
    </w:rPr>
  </w:style>
  <w:style w:type="paragraph" w:styleId="Footer">
    <w:name w:val="footer"/>
    <w:basedOn w:val="Normal"/>
    <w:rsid w:val="003D0646"/>
    <w:pPr>
      <w:widowControl/>
      <w:tabs>
        <w:tab w:val="center" w:pos="4320"/>
        <w:tab w:val="right" w:pos="8640"/>
      </w:tabs>
      <w:autoSpaceDE/>
      <w:autoSpaceDN/>
      <w:adjustRightInd/>
    </w:pPr>
    <w:rPr>
      <w:sz w:val="24"/>
    </w:rPr>
  </w:style>
  <w:style w:type="character" w:styleId="PageNumber">
    <w:name w:val="page number"/>
    <w:basedOn w:val="DefaultParagraphFont"/>
    <w:rsid w:val="003D0646"/>
  </w:style>
  <w:style w:type="paragraph" w:styleId="Header">
    <w:name w:val="header"/>
    <w:basedOn w:val="Normal"/>
    <w:link w:val="HeaderChar"/>
    <w:uiPriority w:val="99"/>
    <w:rsid w:val="003D0646"/>
    <w:pPr>
      <w:widowControl/>
      <w:tabs>
        <w:tab w:val="center" w:pos="4320"/>
        <w:tab w:val="right" w:pos="8640"/>
      </w:tabs>
      <w:autoSpaceDE/>
      <w:autoSpaceDN/>
      <w:adjustRightInd/>
    </w:pPr>
    <w:rPr>
      <w:sz w:val="24"/>
    </w:rPr>
  </w:style>
  <w:style w:type="paragraph" w:styleId="ListBullet">
    <w:name w:val="List Bullet"/>
    <w:basedOn w:val="Normal"/>
    <w:rsid w:val="003D0646"/>
    <w:pPr>
      <w:widowControl/>
      <w:numPr>
        <w:numId w:val="20"/>
      </w:numPr>
      <w:autoSpaceDE/>
      <w:autoSpaceDN/>
      <w:adjustRightInd/>
    </w:pPr>
    <w:rPr>
      <w:sz w:val="24"/>
    </w:rPr>
  </w:style>
  <w:style w:type="paragraph" w:customStyle="1" w:styleId="Style1">
    <w:name w:val="Style 1"/>
    <w:basedOn w:val="Normal"/>
    <w:rsid w:val="003D0646"/>
    <w:pPr>
      <w:adjustRightInd/>
      <w:jc w:val="both"/>
    </w:pPr>
    <w:rPr>
      <w:sz w:val="24"/>
      <w:lang w:eastAsia="en-GB"/>
    </w:rPr>
  </w:style>
  <w:style w:type="paragraph" w:styleId="BodyTextIndent3">
    <w:name w:val="Body Text Indent 3"/>
    <w:basedOn w:val="Normal"/>
    <w:rsid w:val="003D0646"/>
    <w:pPr>
      <w:widowControl/>
      <w:autoSpaceDE/>
      <w:autoSpaceDN/>
      <w:adjustRightInd/>
      <w:spacing w:after="120"/>
      <w:ind w:left="360"/>
    </w:pPr>
    <w:rPr>
      <w:sz w:val="16"/>
      <w:szCs w:val="16"/>
    </w:rPr>
  </w:style>
  <w:style w:type="paragraph" w:customStyle="1" w:styleId="Subheading2">
    <w:name w:val="Subheading 2"/>
    <w:basedOn w:val="Normal"/>
    <w:next w:val="BodyText"/>
    <w:rsid w:val="003D0646"/>
    <w:pPr>
      <w:widowControl/>
      <w:autoSpaceDE/>
      <w:autoSpaceDN/>
      <w:adjustRightInd/>
      <w:spacing w:before="120"/>
    </w:pPr>
    <w:rPr>
      <w:b/>
      <w:sz w:val="24"/>
      <w:szCs w:val="20"/>
    </w:rPr>
  </w:style>
  <w:style w:type="paragraph" w:styleId="BodyText">
    <w:name w:val="Body Text"/>
    <w:basedOn w:val="Normal"/>
    <w:rsid w:val="003D0646"/>
    <w:pPr>
      <w:widowControl/>
      <w:autoSpaceDE/>
      <w:autoSpaceDN/>
      <w:adjustRightInd/>
      <w:spacing w:after="120"/>
    </w:pPr>
    <w:rPr>
      <w:sz w:val="24"/>
    </w:rPr>
  </w:style>
  <w:style w:type="paragraph" w:customStyle="1" w:styleId="Level1">
    <w:name w:val="Level 1"/>
    <w:rsid w:val="003D0646"/>
    <w:pPr>
      <w:autoSpaceDE w:val="0"/>
      <w:autoSpaceDN w:val="0"/>
      <w:adjustRightInd w:val="0"/>
      <w:ind w:left="720"/>
    </w:pPr>
    <w:rPr>
      <w:szCs w:val="24"/>
    </w:rPr>
  </w:style>
  <w:style w:type="paragraph" w:styleId="BalloonText">
    <w:name w:val="Balloon Text"/>
    <w:basedOn w:val="Normal"/>
    <w:link w:val="BalloonTextChar"/>
    <w:uiPriority w:val="99"/>
    <w:semiHidden/>
    <w:unhideWhenUsed/>
    <w:rsid w:val="00317BD2"/>
    <w:rPr>
      <w:rFonts w:ascii="Tahoma" w:hAnsi="Tahoma"/>
      <w:sz w:val="16"/>
      <w:szCs w:val="16"/>
    </w:rPr>
  </w:style>
  <w:style w:type="character" w:customStyle="1" w:styleId="BalloonTextChar">
    <w:name w:val="Balloon Text Char"/>
    <w:link w:val="BalloonText"/>
    <w:uiPriority w:val="99"/>
    <w:semiHidden/>
    <w:rsid w:val="00317BD2"/>
    <w:rPr>
      <w:rFonts w:ascii="Tahoma" w:hAnsi="Tahoma" w:cs="Tahoma"/>
      <w:sz w:val="16"/>
      <w:szCs w:val="16"/>
    </w:rPr>
  </w:style>
  <w:style w:type="character" w:styleId="CommentReference">
    <w:name w:val="annotation reference"/>
    <w:uiPriority w:val="99"/>
    <w:semiHidden/>
    <w:unhideWhenUsed/>
    <w:rsid w:val="005C22A4"/>
    <w:rPr>
      <w:sz w:val="16"/>
      <w:szCs w:val="16"/>
    </w:rPr>
  </w:style>
  <w:style w:type="paragraph" w:styleId="CommentText">
    <w:name w:val="annotation text"/>
    <w:basedOn w:val="Normal"/>
    <w:link w:val="CommentTextChar"/>
    <w:uiPriority w:val="99"/>
    <w:unhideWhenUsed/>
    <w:rsid w:val="005C22A4"/>
    <w:rPr>
      <w:szCs w:val="20"/>
    </w:rPr>
  </w:style>
  <w:style w:type="character" w:customStyle="1" w:styleId="CommentTextChar">
    <w:name w:val="Comment Text Char"/>
    <w:basedOn w:val="DefaultParagraphFont"/>
    <w:link w:val="CommentText"/>
    <w:uiPriority w:val="99"/>
    <w:rsid w:val="005C22A4"/>
  </w:style>
  <w:style w:type="paragraph" w:styleId="CommentSubject">
    <w:name w:val="annotation subject"/>
    <w:basedOn w:val="CommentText"/>
    <w:next w:val="CommentText"/>
    <w:link w:val="CommentSubjectChar"/>
    <w:uiPriority w:val="99"/>
    <w:semiHidden/>
    <w:unhideWhenUsed/>
    <w:rsid w:val="005C22A4"/>
    <w:rPr>
      <w:b/>
      <w:bCs/>
    </w:rPr>
  </w:style>
  <w:style w:type="character" w:customStyle="1" w:styleId="CommentSubjectChar">
    <w:name w:val="Comment Subject Char"/>
    <w:link w:val="CommentSubject"/>
    <w:uiPriority w:val="99"/>
    <w:semiHidden/>
    <w:rsid w:val="005C22A4"/>
    <w:rPr>
      <w:b/>
      <w:bCs/>
    </w:rPr>
  </w:style>
  <w:style w:type="paragraph" w:customStyle="1" w:styleId="NormalSS">
    <w:name w:val="NormalSS"/>
    <w:basedOn w:val="Normal"/>
    <w:qFormat/>
    <w:rsid w:val="00986A51"/>
    <w:pPr>
      <w:widowControl/>
      <w:tabs>
        <w:tab w:val="left" w:pos="432"/>
      </w:tabs>
      <w:autoSpaceDE/>
      <w:autoSpaceDN/>
      <w:adjustRightInd/>
      <w:ind w:firstLine="432"/>
      <w:jc w:val="both"/>
    </w:pPr>
    <w:rPr>
      <w:sz w:val="24"/>
    </w:rPr>
  </w:style>
  <w:style w:type="character" w:customStyle="1" w:styleId="FootnoteTextChar">
    <w:name w:val="Footnote Text Char"/>
    <w:basedOn w:val="DefaultParagraphFont"/>
    <w:link w:val="FootnoteText"/>
    <w:rsid w:val="00986A51"/>
  </w:style>
  <w:style w:type="paragraph" w:styleId="TOCHeading">
    <w:name w:val="TOC Heading"/>
    <w:basedOn w:val="Heading1"/>
    <w:next w:val="Normal"/>
    <w:uiPriority w:val="39"/>
    <w:qFormat/>
    <w:rsid w:val="00EC4851"/>
    <w:pPr>
      <w:keepLines/>
      <w:widowControl/>
      <w:autoSpaceDE/>
      <w:autoSpaceDN/>
      <w:adjustRightInd/>
      <w:spacing w:before="480" w:line="276" w:lineRule="auto"/>
      <w:outlineLvl w:val="9"/>
    </w:pPr>
    <w:rPr>
      <w:rFonts w:ascii="Cambria" w:hAnsi="Cambria"/>
      <w:color w:val="365F91"/>
      <w:szCs w:val="28"/>
    </w:rPr>
  </w:style>
  <w:style w:type="paragraph" w:styleId="TOC2">
    <w:name w:val="toc 2"/>
    <w:basedOn w:val="Normal"/>
    <w:next w:val="Normal"/>
    <w:autoRedefine/>
    <w:uiPriority w:val="39"/>
    <w:rsid w:val="00EC4851"/>
    <w:pPr>
      <w:ind w:left="200"/>
    </w:pPr>
  </w:style>
  <w:style w:type="paragraph" w:customStyle="1" w:styleId="ExhibitTitle">
    <w:name w:val="Exhibit Title"/>
    <w:basedOn w:val="Normal"/>
    <w:rsid w:val="0038174B"/>
    <w:pPr>
      <w:widowControl/>
      <w:pBdr>
        <w:bottom w:val="single" w:sz="4" w:space="1" w:color="auto"/>
      </w:pBdr>
      <w:autoSpaceDE/>
      <w:autoSpaceDN/>
      <w:adjustRightInd/>
      <w:spacing w:before="120" w:after="120"/>
      <w:jc w:val="both"/>
    </w:pPr>
    <w:rPr>
      <w:b/>
      <w:smallCaps/>
      <w:sz w:val="24"/>
      <w:szCs w:val="20"/>
    </w:rPr>
  </w:style>
  <w:style w:type="paragraph" w:styleId="TOC3">
    <w:name w:val="toc 3"/>
    <w:basedOn w:val="Normal"/>
    <w:next w:val="Normal"/>
    <w:autoRedefine/>
    <w:uiPriority w:val="39"/>
    <w:unhideWhenUsed/>
    <w:rsid w:val="003D0856"/>
    <w:pPr>
      <w:spacing w:after="100"/>
      <w:ind w:left="400"/>
    </w:pPr>
  </w:style>
  <w:style w:type="paragraph" w:styleId="Revision">
    <w:name w:val="Revision"/>
    <w:hidden/>
    <w:uiPriority w:val="99"/>
    <w:semiHidden/>
    <w:rsid w:val="008D673B"/>
    <w:rPr>
      <w:szCs w:val="24"/>
    </w:rPr>
  </w:style>
  <w:style w:type="character" w:styleId="FollowedHyperlink">
    <w:name w:val="FollowedHyperlink"/>
    <w:basedOn w:val="DefaultParagraphFont"/>
    <w:uiPriority w:val="99"/>
    <w:semiHidden/>
    <w:unhideWhenUsed/>
    <w:rsid w:val="00AB4657"/>
    <w:rPr>
      <w:color w:val="800080" w:themeColor="followedHyperlink"/>
      <w:u w:val="single"/>
    </w:rPr>
  </w:style>
  <w:style w:type="paragraph" w:customStyle="1" w:styleId="Quick1">
    <w:name w:val="Quick 1."/>
    <w:basedOn w:val="Normal"/>
    <w:rsid w:val="00AC4054"/>
    <w:pPr>
      <w:numPr>
        <w:numId w:val="34"/>
      </w:numPr>
      <w:ind w:left="720" w:hanging="720"/>
    </w:pPr>
    <w:rPr>
      <w:b/>
      <w:i/>
    </w:rPr>
  </w:style>
  <w:style w:type="paragraph" w:styleId="EndnoteText">
    <w:name w:val="endnote text"/>
    <w:basedOn w:val="Normal"/>
    <w:link w:val="EndnoteTextChar"/>
    <w:uiPriority w:val="99"/>
    <w:semiHidden/>
    <w:unhideWhenUsed/>
    <w:rsid w:val="00A44101"/>
    <w:rPr>
      <w:szCs w:val="20"/>
    </w:rPr>
  </w:style>
  <w:style w:type="character" w:customStyle="1" w:styleId="EndnoteTextChar">
    <w:name w:val="Endnote Text Char"/>
    <w:basedOn w:val="DefaultParagraphFont"/>
    <w:link w:val="EndnoteText"/>
    <w:uiPriority w:val="99"/>
    <w:semiHidden/>
    <w:rsid w:val="00A44101"/>
  </w:style>
  <w:style w:type="character" w:styleId="EndnoteReference">
    <w:name w:val="endnote reference"/>
    <w:basedOn w:val="DefaultParagraphFont"/>
    <w:uiPriority w:val="99"/>
    <w:semiHidden/>
    <w:unhideWhenUsed/>
    <w:rsid w:val="00A44101"/>
    <w:rPr>
      <w:vertAlign w:val="superscript"/>
    </w:rPr>
  </w:style>
  <w:style w:type="character" w:customStyle="1" w:styleId="HeaderChar">
    <w:name w:val="Header Char"/>
    <w:basedOn w:val="DefaultParagraphFont"/>
    <w:link w:val="Header"/>
    <w:uiPriority w:val="99"/>
    <w:rsid w:val="005C4B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8013B"/>
    <w:pPr>
      <w:widowControl w:val="0"/>
      <w:autoSpaceDE w:val="0"/>
      <w:autoSpaceDN w:val="0"/>
      <w:adjustRightInd w:val="0"/>
    </w:pPr>
    <w:rPr>
      <w:szCs w:val="24"/>
    </w:rPr>
  </w:style>
  <w:style w:type="paragraph" w:styleId="Heading1">
    <w:name w:val="heading 1"/>
    <w:basedOn w:val="Normal"/>
    <w:next w:val="Normal"/>
    <w:qFormat/>
    <w:rsid w:val="000839A6"/>
    <w:pPr>
      <w:keepNext/>
      <w:outlineLvl w:val="0"/>
    </w:pPr>
    <w:rPr>
      <w:b/>
      <w:bCs/>
      <w:sz w:val="28"/>
    </w:rPr>
  </w:style>
  <w:style w:type="paragraph" w:styleId="Heading2">
    <w:name w:val="heading 2"/>
    <w:basedOn w:val="Normal"/>
    <w:next w:val="Normal"/>
    <w:qFormat/>
    <w:rsid w:val="000839A6"/>
    <w:pPr>
      <w:keepNext/>
      <w:spacing w:before="240" w:after="60"/>
      <w:outlineLvl w:val="1"/>
    </w:pPr>
    <w:rPr>
      <w:b/>
      <w:sz w:val="24"/>
      <w:szCs w:val="28"/>
    </w:rPr>
  </w:style>
  <w:style w:type="paragraph" w:styleId="Heading3">
    <w:name w:val="heading 3"/>
    <w:basedOn w:val="Heading2"/>
    <w:next w:val="Normal"/>
    <w:qFormat/>
    <w:rsid w:val="000839A6"/>
    <w:pPr>
      <w:ind w:left="720"/>
      <w:outlineLvl w:val="2"/>
    </w:pPr>
    <w:rPr>
      <w:szCs w:val="26"/>
    </w:rPr>
  </w:style>
  <w:style w:type="paragraph" w:styleId="Heading4">
    <w:name w:val="heading 4"/>
    <w:basedOn w:val="Normal"/>
    <w:next w:val="Normal"/>
    <w:qFormat/>
    <w:rsid w:val="003D0646"/>
    <w:pPr>
      <w:keepNext/>
      <w:widowControl/>
      <w:tabs>
        <w:tab w:val="num" w:pos="864"/>
      </w:tabs>
      <w:autoSpaceDE/>
      <w:autoSpaceDN/>
      <w:adjustRightInd/>
      <w:spacing w:before="240" w:after="60"/>
      <w:ind w:left="864" w:hanging="864"/>
      <w:outlineLvl w:val="3"/>
    </w:pPr>
    <w:rPr>
      <w:b/>
      <w:bCs/>
      <w:sz w:val="28"/>
      <w:szCs w:val="28"/>
    </w:rPr>
  </w:style>
  <w:style w:type="paragraph" w:styleId="Heading5">
    <w:name w:val="heading 5"/>
    <w:basedOn w:val="Normal"/>
    <w:next w:val="Normal"/>
    <w:qFormat/>
    <w:rsid w:val="003D0646"/>
    <w:pPr>
      <w:widowControl/>
      <w:tabs>
        <w:tab w:val="num" w:pos="1008"/>
      </w:tabs>
      <w:autoSpaceDE/>
      <w:autoSpaceDN/>
      <w:adjustRightInd/>
      <w:spacing w:before="240" w:after="60"/>
      <w:ind w:left="1008" w:hanging="1008"/>
      <w:outlineLvl w:val="4"/>
    </w:pPr>
    <w:rPr>
      <w:b/>
      <w:bCs/>
      <w:i/>
      <w:iCs/>
      <w:sz w:val="26"/>
      <w:szCs w:val="26"/>
    </w:rPr>
  </w:style>
  <w:style w:type="paragraph" w:styleId="Heading6">
    <w:name w:val="heading 6"/>
    <w:basedOn w:val="Normal"/>
    <w:next w:val="Normal"/>
    <w:qFormat/>
    <w:rsid w:val="003D0646"/>
    <w:pPr>
      <w:widowControl/>
      <w:tabs>
        <w:tab w:val="num" w:pos="1152"/>
      </w:tabs>
      <w:autoSpaceDE/>
      <w:autoSpaceDN/>
      <w:adjustRightInd/>
      <w:spacing w:before="240" w:after="60"/>
      <w:ind w:left="1152" w:hanging="1152"/>
      <w:outlineLvl w:val="5"/>
    </w:pPr>
    <w:rPr>
      <w:b/>
      <w:bCs/>
      <w:sz w:val="22"/>
      <w:szCs w:val="22"/>
    </w:rPr>
  </w:style>
  <w:style w:type="paragraph" w:styleId="Heading7">
    <w:name w:val="heading 7"/>
    <w:basedOn w:val="Normal"/>
    <w:next w:val="Normal"/>
    <w:qFormat/>
    <w:rsid w:val="003D0646"/>
    <w:pPr>
      <w:widowControl/>
      <w:tabs>
        <w:tab w:val="num" w:pos="1296"/>
      </w:tabs>
      <w:autoSpaceDE/>
      <w:autoSpaceDN/>
      <w:adjustRightInd/>
      <w:spacing w:before="240" w:after="60"/>
      <w:ind w:left="1296" w:hanging="1296"/>
      <w:outlineLvl w:val="6"/>
    </w:pPr>
    <w:rPr>
      <w:sz w:val="24"/>
    </w:rPr>
  </w:style>
  <w:style w:type="paragraph" w:styleId="Heading8">
    <w:name w:val="heading 8"/>
    <w:basedOn w:val="Normal"/>
    <w:next w:val="Normal"/>
    <w:qFormat/>
    <w:rsid w:val="003D0646"/>
    <w:pPr>
      <w:widowControl/>
      <w:tabs>
        <w:tab w:val="num" w:pos="1440"/>
      </w:tabs>
      <w:autoSpaceDE/>
      <w:autoSpaceDN/>
      <w:adjustRightInd/>
      <w:spacing w:before="240" w:after="60"/>
      <w:ind w:left="1440" w:hanging="1440"/>
      <w:outlineLvl w:val="7"/>
    </w:pPr>
    <w:rPr>
      <w:i/>
      <w:iCs/>
      <w:sz w:val="24"/>
    </w:rPr>
  </w:style>
  <w:style w:type="paragraph" w:styleId="Heading9">
    <w:name w:val="heading 9"/>
    <w:basedOn w:val="Normal"/>
    <w:next w:val="Normal"/>
    <w:qFormat/>
    <w:rsid w:val="003D0646"/>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8013B"/>
  </w:style>
  <w:style w:type="paragraph" w:styleId="BodyTextIndent">
    <w:name w:val="Body Text Indent"/>
    <w:basedOn w:val="Normal"/>
    <w:rsid w:val="0058013B"/>
    <w:pPr>
      <w:ind w:left="720"/>
    </w:pPr>
    <w:rPr>
      <w:rFonts w:ascii="Baskerville Old Face" w:hAnsi="Baskerville Old Face"/>
      <w:sz w:val="24"/>
    </w:rPr>
  </w:style>
  <w:style w:type="table" w:styleId="TableGrid">
    <w:name w:val="Table Grid"/>
    <w:basedOn w:val="TableNormal"/>
    <w:rsid w:val="005801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rsid w:val="00DB40C1"/>
    <w:pPr>
      <w:spacing w:line="240" w:lineRule="atLeast"/>
      <w:jc w:val="both"/>
    </w:pPr>
    <w:rPr>
      <w:sz w:val="22"/>
    </w:rPr>
  </w:style>
  <w:style w:type="paragraph" w:styleId="FootnoteText">
    <w:name w:val="footnote text"/>
    <w:basedOn w:val="Normal"/>
    <w:link w:val="FootnoteTextChar"/>
    <w:rsid w:val="00DB40C1"/>
    <w:pPr>
      <w:widowControl/>
      <w:autoSpaceDE/>
      <w:autoSpaceDN/>
      <w:adjustRightInd/>
    </w:pPr>
    <w:rPr>
      <w:szCs w:val="20"/>
    </w:rPr>
  </w:style>
  <w:style w:type="character" w:styleId="Hyperlink">
    <w:name w:val="Hyperlink"/>
    <w:uiPriority w:val="99"/>
    <w:rsid w:val="003D0646"/>
    <w:rPr>
      <w:color w:val="0000FF"/>
      <w:u w:val="single"/>
    </w:rPr>
  </w:style>
  <w:style w:type="paragraph" w:customStyle="1" w:styleId="ParagraphSSLAST">
    <w:name w:val="ParagraphSS (LAST)"/>
    <w:basedOn w:val="Normal"/>
    <w:next w:val="Normal"/>
    <w:rsid w:val="003D0646"/>
    <w:pPr>
      <w:widowControl/>
      <w:tabs>
        <w:tab w:val="left" w:pos="432"/>
      </w:tabs>
      <w:autoSpaceDE/>
      <w:autoSpaceDN/>
      <w:adjustRightInd/>
      <w:spacing w:after="360"/>
      <w:ind w:firstLine="432"/>
      <w:jc w:val="both"/>
    </w:pPr>
    <w:rPr>
      <w:sz w:val="24"/>
      <w:szCs w:val="20"/>
    </w:rPr>
  </w:style>
  <w:style w:type="paragraph" w:customStyle="1" w:styleId="Title1">
    <w:name w:val="Title1"/>
    <w:basedOn w:val="Normal"/>
    <w:rsid w:val="003D0646"/>
    <w:pPr>
      <w:widowControl/>
      <w:autoSpaceDE/>
      <w:autoSpaceDN/>
      <w:adjustRightInd/>
      <w:spacing w:line="600" w:lineRule="exact"/>
    </w:pPr>
    <w:rPr>
      <w:rFonts w:ascii="Futura-Book" w:hAnsi="Futura-Book"/>
      <w:color w:val="000000"/>
      <w:sz w:val="48"/>
      <w:szCs w:val="20"/>
    </w:rPr>
  </w:style>
  <w:style w:type="paragraph" w:customStyle="1" w:styleId="INFO">
    <w:name w:val="INFO"/>
    <w:basedOn w:val="Title1"/>
    <w:rsid w:val="003D0646"/>
    <w:pPr>
      <w:spacing w:after="120" w:line="240" w:lineRule="exact"/>
    </w:pPr>
    <w:rPr>
      <w:rFonts w:ascii="Futura Std Book" w:hAnsi="Futura Std Book"/>
      <w:sz w:val="16"/>
    </w:rPr>
  </w:style>
  <w:style w:type="paragraph" w:customStyle="1" w:styleId="AUTHOR">
    <w:name w:val="AUTHOR"/>
    <w:basedOn w:val="Title1"/>
    <w:next w:val="INFO"/>
    <w:rsid w:val="003D0646"/>
    <w:pPr>
      <w:spacing w:line="300" w:lineRule="exact"/>
    </w:pPr>
    <w:rPr>
      <w:caps/>
      <w:sz w:val="24"/>
    </w:rPr>
  </w:style>
  <w:style w:type="paragraph" w:customStyle="1" w:styleId="SUB-TITLE">
    <w:name w:val="SUB-TITLE"/>
    <w:basedOn w:val="Title1"/>
    <w:next w:val="AUTHOR"/>
    <w:rsid w:val="003D0646"/>
    <w:pPr>
      <w:spacing w:before="360" w:line="480" w:lineRule="exact"/>
    </w:pPr>
    <w:rPr>
      <w:sz w:val="36"/>
    </w:rPr>
  </w:style>
  <w:style w:type="paragraph" w:styleId="TOC1">
    <w:name w:val="toc 1"/>
    <w:basedOn w:val="Normal"/>
    <w:next w:val="Normal"/>
    <w:autoRedefine/>
    <w:uiPriority w:val="39"/>
    <w:rsid w:val="001844AA"/>
    <w:pPr>
      <w:widowControl/>
      <w:tabs>
        <w:tab w:val="left" w:pos="440"/>
        <w:tab w:val="right" w:leader="dot" w:pos="9350"/>
      </w:tabs>
      <w:autoSpaceDE/>
      <w:autoSpaceDN/>
      <w:adjustRightInd/>
      <w:spacing w:before="120" w:after="120"/>
    </w:pPr>
    <w:rPr>
      <w:b/>
      <w:bCs/>
      <w:noProof/>
      <w:szCs w:val="20"/>
    </w:rPr>
  </w:style>
  <w:style w:type="paragraph" w:styleId="ListParagraph">
    <w:name w:val="List Paragraph"/>
    <w:basedOn w:val="Normal"/>
    <w:uiPriority w:val="34"/>
    <w:qFormat/>
    <w:rsid w:val="003D0646"/>
    <w:pPr>
      <w:widowControl/>
      <w:autoSpaceDE/>
      <w:autoSpaceDN/>
      <w:adjustRightInd/>
      <w:ind w:left="720"/>
      <w:contextualSpacing/>
    </w:pPr>
    <w:rPr>
      <w:sz w:val="24"/>
    </w:rPr>
  </w:style>
  <w:style w:type="paragraph" w:styleId="Footer">
    <w:name w:val="footer"/>
    <w:basedOn w:val="Normal"/>
    <w:rsid w:val="003D0646"/>
    <w:pPr>
      <w:widowControl/>
      <w:tabs>
        <w:tab w:val="center" w:pos="4320"/>
        <w:tab w:val="right" w:pos="8640"/>
      </w:tabs>
      <w:autoSpaceDE/>
      <w:autoSpaceDN/>
      <w:adjustRightInd/>
    </w:pPr>
    <w:rPr>
      <w:sz w:val="24"/>
    </w:rPr>
  </w:style>
  <w:style w:type="character" w:styleId="PageNumber">
    <w:name w:val="page number"/>
    <w:basedOn w:val="DefaultParagraphFont"/>
    <w:rsid w:val="003D0646"/>
  </w:style>
  <w:style w:type="paragraph" w:styleId="Header">
    <w:name w:val="header"/>
    <w:basedOn w:val="Normal"/>
    <w:link w:val="HeaderChar"/>
    <w:uiPriority w:val="99"/>
    <w:rsid w:val="003D0646"/>
    <w:pPr>
      <w:widowControl/>
      <w:tabs>
        <w:tab w:val="center" w:pos="4320"/>
        <w:tab w:val="right" w:pos="8640"/>
      </w:tabs>
      <w:autoSpaceDE/>
      <w:autoSpaceDN/>
      <w:adjustRightInd/>
    </w:pPr>
    <w:rPr>
      <w:sz w:val="24"/>
    </w:rPr>
  </w:style>
  <w:style w:type="paragraph" w:styleId="ListBullet">
    <w:name w:val="List Bullet"/>
    <w:basedOn w:val="Normal"/>
    <w:rsid w:val="003D0646"/>
    <w:pPr>
      <w:widowControl/>
      <w:numPr>
        <w:numId w:val="20"/>
      </w:numPr>
      <w:autoSpaceDE/>
      <w:autoSpaceDN/>
      <w:adjustRightInd/>
    </w:pPr>
    <w:rPr>
      <w:sz w:val="24"/>
    </w:rPr>
  </w:style>
  <w:style w:type="paragraph" w:customStyle="1" w:styleId="Style1">
    <w:name w:val="Style 1"/>
    <w:basedOn w:val="Normal"/>
    <w:rsid w:val="003D0646"/>
    <w:pPr>
      <w:adjustRightInd/>
      <w:jc w:val="both"/>
    </w:pPr>
    <w:rPr>
      <w:sz w:val="24"/>
      <w:lang w:eastAsia="en-GB"/>
    </w:rPr>
  </w:style>
  <w:style w:type="paragraph" w:styleId="BodyTextIndent3">
    <w:name w:val="Body Text Indent 3"/>
    <w:basedOn w:val="Normal"/>
    <w:rsid w:val="003D0646"/>
    <w:pPr>
      <w:widowControl/>
      <w:autoSpaceDE/>
      <w:autoSpaceDN/>
      <w:adjustRightInd/>
      <w:spacing w:after="120"/>
      <w:ind w:left="360"/>
    </w:pPr>
    <w:rPr>
      <w:sz w:val="16"/>
      <w:szCs w:val="16"/>
    </w:rPr>
  </w:style>
  <w:style w:type="paragraph" w:customStyle="1" w:styleId="Subheading2">
    <w:name w:val="Subheading 2"/>
    <w:basedOn w:val="Normal"/>
    <w:next w:val="BodyText"/>
    <w:rsid w:val="003D0646"/>
    <w:pPr>
      <w:widowControl/>
      <w:autoSpaceDE/>
      <w:autoSpaceDN/>
      <w:adjustRightInd/>
      <w:spacing w:before="120"/>
    </w:pPr>
    <w:rPr>
      <w:b/>
      <w:sz w:val="24"/>
      <w:szCs w:val="20"/>
    </w:rPr>
  </w:style>
  <w:style w:type="paragraph" w:styleId="BodyText">
    <w:name w:val="Body Text"/>
    <w:basedOn w:val="Normal"/>
    <w:rsid w:val="003D0646"/>
    <w:pPr>
      <w:widowControl/>
      <w:autoSpaceDE/>
      <w:autoSpaceDN/>
      <w:adjustRightInd/>
      <w:spacing w:after="120"/>
    </w:pPr>
    <w:rPr>
      <w:sz w:val="24"/>
    </w:rPr>
  </w:style>
  <w:style w:type="paragraph" w:customStyle="1" w:styleId="Level1">
    <w:name w:val="Level 1"/>
    <w:rsid w:val="003D0646"/>
    <w:pPr>
      <w:autoSpaceDE w:val="0"/>
      <w:autoSpaceDN w:val="0"/>
      <w:adjustRightInd w:val="0"/>
      <w:ind w:left="720"/>
    </w:pPr>
    <w:rPr>
      <w:szCs w:val="24"/>
    </w:rPr>
  </w:style>
  <w:style w:type="paragraph" w:styleId="BalloonText">
    <w:name w:val="Balloon Text"/>
    <w:basedOn w:val="Normal"/>
    <w:link w:val="BalloonTextChar"/>
    <w:uiPriority w:val="99"/>
    <w:semiHidden/>
    <w:unhideWhenUsed/>
    <w:rsid w:val="00317BD2"/>
    <w:rPr>
      <w:rFonts w:ascii="Tahoma" w:hAnsi="Tahoma"/>
      <w:sz w:val="16"/>
      <w:szCs w:val="16"/>
    </w:rPr>
  </w:style>
  <w:style w:type="character" w:customStyle="1" w:styleId="BalloonTextChar">
    <w:name w:val="Balloon Text Char"/>
    <w:link w:val="BalloonText"/>
    <w:uiPriority w:val="99"/>
    <w:semiHidden/>
    <w:rsid w:val="00317BD2"/>
    <w:rPr>
      <w:rFonts w:ascii="Tahoma" w:hAnsi="Tahoma" w:cs="Tahoma"/>
      <w:sz w:val="16"/>
      <w:szCs w:val="16"/>
    </w:rPr>
  </w:style>
  <w:style w:type="character" w:styleId="CommentReference">
    <w:name w:val="annotation reference"/>
    <w:uiPriority w:val="99"/>
    <w:semiHidden/>
    <w:unhideWhenUsed/>
    <w:rsid w:val="005C22A4"/>
    <w:rPr>
      <w:sz w:val="16"/>
      <w:szCs w:val="16"/>
    </w:rPr>
  </w:style>
  <w:style w:type="paragraph" w:styleId="CommentText">
    <w:name w:val="annotation text"/>
    <w:basedOn w:val="Normal"/>
    <w:link w:val="CommentTextChar"/>
    <w:uiPriority w:val="99"/>
    <w:unhideWhenUsed/>
    <w:rsid w:val="005C22A4"/>
    <w:rPr>
      <w:szCs w:val="20"/>
    </w:rPr>
  </w:style>
  <w:style w:type="character" w:customStyle="1" w:styleId="CommentTextChar">
    <w:name w:val="Comment Text Char"/>
    <w:basedOn w:val="DefaultParagraphFont"/>
    <w:link w:val="CommentText"/>
    <w:uiPriority w:val="99"/>
    <w:rsid w:val="005C22A4"/>
  </w:style>
  <w:style w:type="paragraph" w:styleId="CommentSubject">
    <w:name w:val="annotation subject"/>
    <w:basedOn w:val="CommentText"/>
    <w:next w:val="CommentText"/>
    <w:link w:val="CommentSubjectChar"/>
    <w:uiPriority w:val="99"/>
    <w:semiHidden/>
    <w:unhideWhenUsed/>
    <w:rsid w:val="005C22A4"/>
    <w:rPr>
      <w:b/>
      <w:bCs/>
    </w:rPr>
  </w:style>
  <w:style w:type="character" w:customStyle="1" w:styleId="CommentSubjectChar">
    <w:name w:val="Comment Subject Char"/>
    <w:link w:val="CommentSubject"/>
    <w:uiPriority w:val="99"/>
    <w:semiHidden/>
    <w:rsid w:val="005C22A4"/>
    <w:rPr>
      <w:b/>
      <w:bCs/>
    </w:rPr>
  </w:style>
  <w:style w:type="paragraph" w:customStyle="1" w:styleId="NormalSS">
    <w:name w:val="NormalSS"/>
    <w:basedOn w:val="Normal"/>
    <w:qFormat/>
    <w:rsid w:val="00986A51"/>
    <w:pPr>
      <w:widowControl/>
      <w:tabs>
        <w:tab w:val="left" w:pos="432"/>
      </w:tabs>
      <w:autoSpaceDE/>
      <w:autoSpaceDN/>
      <w:adjustRightInd/>
      <w:ind w:firstLine="432"/>
      <w:jc w:val="both"/>
    </w:pPr>
    <w:rPr>
      <w:sz w:val="24"/>
    </w:rPr>
  </w:style>
  <w:style w:type="character" w:customStyle="1" w:styleId="FootnoteTextChar">
    <w:name w:val="Footnote Text Char"/>
    <w:basedOn w:val="DefaultParagraphFont"/>
    <w:link w:val="FootnoteText"/>
    <w:rsid w:val="00986A51"/>
  </w:style>
  <w:style w:type="paragraph" w:styleId="TOCHeading">
    <w:name w:val="TOC Heading"/>
    <w:basedOn w:val="Heading1"/>
    <w:next w:val="Normal"/>
    <w:uiPriority w:val="39"/>
    <w:qFormat/>
    <w:rsid w:val="00EC4851"/>
    <w:pPr>
      <w:keepLines/>
      <w:widowControl/>
      <w:autoSpaceDE/>
      <w:autoSpaceDN/>
      <w:adjustRightInd/>
      <w:spacing w:before="480" w:line="276" w:lineRule="auto"/>
      <w:outlineLvl w:val="9"/>
    </w:pPr>
    <w:rPr>
      <w:rFonts w:ascii="Cambria" w:hAnsi="Cambria"/>
      <w:color w:val="365F91"/>
      <w:szCs w:val="28"/>
    </w:rPr>
  </w:style>
  <w:style w:type="paragraph" w:styleId="TOC2">
    <w:name w:val="toc 2"/>
    <w:basedOn w:val="Normal"/>
    <w:next w:val="Normal"/>
    <w:autoRedefine/>
    <w:uiPriority w:val="39"/>
    <w:rsid w:val="00EC4851"/>
    <w:pPr>
      <w:ind w:left="200"/>
    </w:pPr>
  </w:style>
  <w:style w:type="paragraph" w:customStyle="1" w:styleId="ExhibitTitle">
    <w:name w:val="Exhibit Title"/>
    <w:basedOn w:val="Normal"/>
    <w:rsid w:val="0038174B"/>
    <w:pPr>
      <w:widowControl/>
      <w:pBdr>
        <w:bottom w:val="single" w:sz="4" w:space="1" w:color="auto"/>
      </w:pBdr>
      <w:autoSpaceDE/>
      <w:autoSpaceDN/>
      <w:adjustRightInd/>
      <w:spacing w:before="120" w:after="120"/>
      <w:jc w:val="both"/>
    </w:pPr>
    <w:rPr>
      <w:b/>
      <w:smallCaps/>
      <w:sz w:val="24"/>
      <w:szCs w:val="20"/>
    </w:rPr>
  </w:style>
  <w:style w:type="paragraph" w:styleId="TOC3">
    <w:name w:val="toc 3"/>
    <w:basedOn w:val="Normal"/>
    <w:next w:val="Normal"/>
    <w:autoRedefine/>
    <w:uiPriority w:val="39"/>
    <w:unhideWhenUsed/>
    <w:rsid w:val="003D0856"/>
    <w:pPr>
      <w:spacing w:after="100"/>
      <w:ind w:left="400"/>
    </w:pPr>
  </w:style>
  <w:style w:type="paragraph" w:styleId="Revision">
    <w:name w:val="Revision"/>
    <w:hidden/>
    <w:uiPriority w:val="99"/>
    <w:semiHidden/>
    <w:rsid w:val="008D673B"/>
    <w:rPr>
      <w:szCs w:val="24"/>
    </w:rPr>
  </w:style>
  <w:style w:type="character" w:styleId="FollowedHyperlink">
    <w:name w:val="FollowedHyperlink"/>
    <w:basedOn w:val="DefaultParagraphFont"/>
    <w:uiPriority w:val="99"/>
    <w:semiHidden/>
    <w:unhideWhenUsed/>
    <w:rsid w:val="00AB4657"/>
    <w:rPr>
      <w:color w:val="800080" w:themeColor="followedHyperlink"/>
      <w:u w:val="single"/>
    </w:rPr>
  </w:style>
  <w:style w:type="paragraph" w:customStyle="1" w:styleId="Quick1">
    <w:name w:val="Quick 1."/>
    <w:basedOn w:val="Normal"/>
    <w:rsid w:val="00AC4054"/>
    <w:pPr>
      <w:numPr>
        <w:numId w:val="34"/>
      </w:numPr>
      <w:ind w:left="720" w:hanging="720"/>
    </w:pPr>
    <w:rPr>
      <w:b/>
      <w:i/>
    </w:rPr>
  </w:style>
  <w:style w:type="paragraph" w:styleId="EndnoteText">
    <w:name w:val="endnote text"/>
    <w:basedOn w:val="Normal"/>
    <w:link w:val="EndnoteTextChar"/>
    <w:uiPriority w:val="99"/>
    <w:semiHidden/>
    <w:unhideWhenUsed/>
    <w:rsid w:val="00A44101"/>
    <w:rPr>
      <w:szCs w:val="20"/>
    </w:rPr>
  </w:style>
  <w:style w:type="character" w:customStyle="1" w:styleId="EndnoteTextChar">
    <w:name w:val="Endnote Text Char"/>
    <w:basedOn w:val="DefaultParagraphFont"/>
    <w:link w:val="EndnoteText"/>
    <w:uiPriority w:val="99"/>
    <w:semiHidden/>
    <w:rsid w:val="00A44101"/>
  </w:style>
  <w:style w:type="character" w:styleId="EndnoteReference">
    <w:name w:val="endnote reference"/>
    <w:basedOn w:val="DefaultParagraphFont"/>
    <w:uiPriority w:val="99"/>
    <w:semiHidden/>
    <w:unhideWhenUsed/>
    <w:rsid w:val="00A44101"/>
    <w:rPr>
      <w:vertAlign w:val="superscript"/>
    </w:rPr>
  </w:style>
  <w:style w:type="character" w:customStyle="1" w:styleId="HeaderChar">
    <w:name w:val="Header Char"/>
    <w:basedOn w:val="DefaultParagraphFont"/>
    <w:link w:val="Header"/>
    <w:uiPriority w:val="99"/>
    <w:rsid w:val="005C4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216">
      <w:bodyDiv w:val="1"/>
      <w:marLeft w:val="0"/>
      <w:marRight w:val="0"/>
      <w:marTop w:val="0"/>
      <w:marBottom w:val="0"/>
      <w:divBdr>
        <w:top w:val="none" w:sz="0" w:space="0" w:color="auto"/>
        <w:left w:val="none" w:sz="0" w:space="0" w:color="auto"/>
        <w:bottom w:val="none" w:sz="0" w:space="0" w:color="auto"/>
        <w:right w:val="none" w:sz="0" w:space="0" w:color="auto"/>
      </w:divBdr>
    </w:div>
    <w:div w:id="302277219">
      <w:bodyDiv w:val="1"/>
      <w:marLeft w:val="0"/>
      <w:marRight w:val="0"/>
      <w:marTop w:val="0"/>
      <w:marBottom w:val="0"/>
      <w:divBdr>
        <w:top w:val="none" w:sz="0" w:space="0" w:color="auto"/>
        <w:left w:val="none" w:sz="0" w:space="0" w:color="auto"/>
        <w:bottom w:val="none" w:sz="0" w:space="0" w:color="auto"/>
        <w:right w:val="none" w:sz="0" w:space="0" w:color="auto"/>
      </w:divBdr>
    </w:div>
    <w:div w:id="13363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085A-3B12-423B-B3C6-23DBA1AA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4269</Words>
  <Characters>24201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28414</CharactersWithSpaces>
  <SharedDoc>false</SharedDoc>
  <HLinks>
    <vt:vector size="192" baseType="variant">
      <vt:variant>
        <vt:i4>393320</vt:i4>
      </vt:variant>
      <vt:variant>
        <vt:i4>171</vt:i4>
      </vt:variant>
      <vt:variant>
        <vt:i4>0</vt:i4>
      </vt:variant>
      <vt:variant>
        <vt:i4>5</vt:i4>
      </vt:variant>
      <vt:variant>
        <vt:lpwstr>mailto:Wilma.Tilson@hhs.gov</vt:lpwstr>
      </vt:variant>
      <vt:variant>
        <vt:lpwstr/>
      </vt:variant>
      <vt:variant>
        <vt:i4>7864329</vt:i4>
      </vt:variant>
      <vt:variant>
        <vt:i4>168</vt:i4>
      </vt:variant>
      <vt:variant>
        <vt:i4>0</vt:i4>
      </vt:variant>
      <vt:variant>
        <vt:i4>5</vt:i4>
      </vt:variant>
      <vt:variant>
        <vt:lpwstr>mailto:Decressin.Anja@dol.gov</vt:lpwstr>
      </vt:variant>
      <vt:variant>
        <vt:lpwstr/>
      </vt:variant>
      <vt:variant>
        <vt:i4>2162688</vt:i4>
      </vt:variant>
      <vt:variant>
        <vt:i4>165</vt:i4>
      </vt:variant>
      <vt:variant>
        <vt:i4>0</vt:i4>
      </vt:variant>
      <vt:variant>
        <vt:i4>5</vt:i4>
      </vt:variant>
      <vt:variant>
        <vt:lpwstr>mailto:qburkhar@rand.org</vt:lpwstr>
      </vt:variant>
      <vt:variant>
        <vt:lpwstr/>
      </vt:variant>
      <vt:variant>
        <vt:i4>3014675</vt:i4>
      </vt:variant>
      <vt:variant>
        <vt:i4>162</vt:i4>
      </vt:variant>
      <vt:variant>
        <vt:i4>0</vt:i4>
      </vt:variant>
      <vt:variant>
        <vt:i4>5</vt:i4>
      </vt:variant>
      <vt:variant>
        <vt:lpwstr>mailto:hliu@rand.org</vt:lpwstr>
      </vt:variant>
      <vt:variant>
        <vt:lpwstr/>
      </vt:variant>
      <vt:variant>
        <vt:i4>5046399</vt:i4>
      </vt:variant>
      <vt:variant>
        <vt:i4>159</vt:i4>
      </vt:variant>
      <vt:variant>
        <vt:i4>0</vt:i4>
      </vt:variant>
      <vt:variant>
        <vt:i4>5</vt:i4>
      </vt:variant>
      <vt:variant>
        <vt:lpwstr>mailto:eibner@rand.org</vt:lpwstr>
      </vt:variant>
      <vt:variant>
        <vt:lpwstr/>
      </vt:variant>
      <vt:variant>
        <vt:i4>6094970</vt:i4>
      </vt:variant>
      <vt:variant>
        <vt:i4>156</vt:i4>
      </vt:variant>
      <vt:variant>
        <vt:i4>0</vt:i4>
      </vt:variant>
      <vt:variant>
        <vt:i4>5</vt:i4>
      </vt:variant>
      <vt:variant>
        <vt:lpwstr>mailto:mattke@rand.org</vt:lpwstr>
      </vt:variant>
      <vt:variant>
        <vt:lpwstr/>
      </vt:variant>
      <vt:variant>
        <vt:i4>3407967</vt:i4>
      </vt:variant>
      <vt:variant>
        <vt:i4>153</vt:i4>
      </vt:variant>
      <vt:variant>
        <vt:i4>0</vt:i4>
      </vt:variant>
      <vt:variant>
        <vt:i4>5</vt:i4>
      </vt:variant>
      <vt:variant>
        <vt:lpwstr>http://www.bls.gov/oes/current/oes_nat.htm</vt:lpwstr>
      </vt:variant>
      <vt:variant>
        <vt:lpwstr/>
      </vt:variant>
      <vt:variant>
        <vt:i4>1245232</vt:i4>
      </vt:variant>
      <vt:variant>
        <vt:i4>146</vt:i4>
      </vt:variant>
      <vt:variant>
        <vt:i4>0</vt:i4>
      </vt:variant>
      <vt:variant>
        <vt:i4>5</vt:i4>
      </vt:variant>
      <vt:variant>
        <vt:lpwstr/>
      </vt:variant>
      <vt:variant>
        <vt:lpwstr>_Toc285800741</vt:lpwstr>
      </vt:variant>
      <vt:variant>
        <vt:i4>1245232</vt:i4>
      </vt:variant>
      <vt:variant>
        <vt:i4>140</vt:i4>
      </vt:variant>
      <vt:variant>
        <vt:i4>0</vt:i4>
      </vt:variant>
      <vt:variant>
        <vt:i4>5</vt:i4>
      </vt:variant>
      <vt:variant>
        <vt:lpwstr/>
      </vt:variant>
      <vt:variant>
        <vt:lpwstr>_Toc285800740</vt:lpwstr>
      </vt:variant>
      <vt:variant>
        <vt:i4>1310768</vt:i4>
      </vt:variant>
      <vt:variant>
        <vt:i4>134</vt:i4>
      </vt:variant>
      <vt:variant>
        <vt:i4>0</vt:i4>
      </vt:variant>
      <vt:variant>
        <vt:i4>5</vt:i4>
      </vt:variant>
      <vt:variant>
        <vt:lpwstr/>
      </vt:variant>
      <vt:variant>
        <vt:lpwstr>_Toc285800739</vt:lpwstr>
      </vt:variant>
      <vt:variant>
        <vt:i4>1310768</vt:i4>
      </vt:variant>
      <vt:variant>
        <vt:i4>128</vt:i4>
      </vt:variant>
      <vt:variant>
        <vt:i4>0</vt:i4>
      </vt:variant>
      <vt:variant>
        <vt:i4>5</vt:i4>
      </vt:variant>
      <vt:variant>
        <vt:lpwstr/>
      </vt:variant>
      <vt:variant>
        <vt:lpwstr>_Toc285800738</vt:lpwstr>
      </vt:variant>
      <vt:variant>
        <vt:i4>1310768</vt:i4>
      </vt:variant>
      <vt:variant>
        <vt:i4>122</vt:i4>
      </vt:variant>
      <vt:variant>
        <vt:i4>0</vt:i4>
      </vt:variant>
      <vt:variant>
        <vt:i4>5</vt:i4>
      </vt:variant>
      <vt:variant>
        <vt:lpwstr/>
      </vt:variant>
      <vt:variant>
        <vt:lpwstr>_Toc285800737</vt:lpwstr>
      </vt:variant>
      <vt:variant>
        <vt:i4>1310768</vt:i4>
      </vt:variant>
      <vt:variant>
        <vt:i4>116</vt:i4>
      </vt:variant>
      <vt:variant>
        <vt:i4>0</vt:i4>
      </vt:variant>
      <vt:variant>
        <vt:i4>5</vt:i4>
      </vt:variant>
      <vt:variant>
        <vt:lpwstr/>
      </vt:variant>
      <vt:variant>
        <vt:lpwstr>_Toc285800736</vt:lpwstr>
      </vt:variant>
      <vt:variant>
        <vt:i4>1310768</vt:i4>
      </vt:variant>
      <vt:variant>
        <vt:i4>110</vt:i4>
      </vt:variant>
      <vt:variant>
        <vt:i4>0</vt:i4>
      </vt:variant>
      <vt:variant>
        <vt:i4>5</vt:i4>
      </vt:variant>
      <vt:variant>
        <vt:lpwstr/>
      </vt:variant>
      <vt:variant>
        <vt:lpwstr>_Toc285800735</vt:lpwstr>
      </vt:variant>
      <vt:variant>
        <vt:i4>1310768</vt:i4>
      </vt:variant>
      <vt:variant>
        <vt:i4>104</vt:i4>
      </vt:variant>
      <vt:variant>
        <vt:i4>0</vt:i4>
      </vt:variant>
      <vt:variant>
        <vt:i4>5</vt:i4>
      </vt:variant>
      <vt:variant>
        <vt:lpwstr/>
      </vt:variant>
      <vt:variant>
        <vt:lpwstr>_Toc285800734</vt:lpwstr>
      </vt:variant>
      <vt:variant>
        <vt:i4>1310768</vt:i4>
      </vt:variant>
      <vt:variant>
        <vt:i4>98</vt:i4>
      </vt:variant>
      <vt:variant>
        <vt:i4>0</vt:i4>
      </vt:variant>
      <vt:variant>
        <vt:i4>5</vt:i4>
      </vt:variant>
      <vt:variant>
        <vt:lpwstr/>
      </vt:variant>
      <vt:variant>
        <vt:lpwstr>_Toc285800733</vt:lpwstr>
      </vt:variant>
      <vt:variant>
        <vt:i4>1310768</vt:i4>
      </vt:variant>
      <vt:variant>
        <vt:i4>92</vt:i4>
      </vt:variant>
      <vt:variant>
        <vt:i4>0</vt:i4>
      </vt:variant>
      <vt:variant>
        <vt:i4>5</vt:i4>
      </vt:variant>
      <vt:variant>
        <vt:lpwstr/>
      </vt:variant>
      <vt:variant>
        <vt:lpwstr>_Toc285800732</vt:lpwstr>
      </vt:variant>
      <vt:variant>
        <vt:i4>1310768</vt:i4>
      </vt:variant>
      <vt:variant>
        <vt:i4>86</vt:i4>
      </vt:variant>
      <vt:variant>
        <vt:i4>0</vt:i4>
      </vt:variant>
      <vt:variant>
        <vt:i4>5</vt:i4>
      </vt:variant>
      <vt:variant>
        <vt:lpwstr/>
      </vt:variant>
      <vt:variant>
        <vt:lpwstr>_Toc285800731</vt:lpwstr>
      </vt:variant>
      <vt:variant>
        <vt:i4>1310768</vt:i4>
      </vt:variant>
      <vt:variant>
        <vt:i4>80</vt:i4>
      </vt:variant>
      <vt:variant>
        <vt:i4>0</vt:i4>
      </vt:variant>
      <vt:variant>
        <vt:i4>5</vt:i4>
      </vt:variant>
      <vt:variant>
        <vt:lpwstr/>
      </vt:variant>
      <vt:variant>
        <vt:lpwstr>_Toc285800730</vt:lpwstr>
      </vt:variant>
      <vt:variant>
        <vt:i4>1376304</vt:i4>
      </vt:variant>
      <vt:variant>
        <vt:i4>74</vt:i4>
      </vt:variant>
      <vt:variant>
        <vt:i4>0</vt:i4>
      </vt:variant>
      <vt:variant>
        <vt:i4>5</vt:i4>
      </vt:variant>
      <vt:variant>
        <vt:lpwstr/>
      </vt:variant>
      <vt:variant>
        <vt:lpwstr>_Toc285800729</vt:lpwstr>
      </vt:variant>
      <vt:variant>
        <vt:i4>1376304</vt:i4>
      </vt:variant>
      <vt:variant>
        <vt:i4>68</vt:i4>
      </vt:variant>
      <vt:variant>
        <vt:i4>0</vt:i4>
      </vt:variant>
      <vt:variant>
        <vt:i4>5</vt:i4>
      </vt:variant>
      <vt:variant>
        <vt:lpwstr/>
      </vt:variant>
      <vt:variant>
        <vt:lpwstr>_Toc285800728</vt:lpwstr>
      </vt:variant>
      <vt:variant>
        <vt:i4>1376304</vt:i4>
      </vt:variant>
      <vt:variant>
        <vt:i4>62</vt:i4>
      </vt:variant>
      <vt:variant>
        <vt:i4>0</vt:i4>
      </vt:variant>
      <vt:variant>
        <vt:i4>5</vt:i4>
      </vt:variant>
      <vt:variant>
        <vt:lpwstr/>
      </vt:variant>
      <vt:variant>
        <vt:lpwstr>_Toc285800727</vt:lpwstr>
      </vt:variant>
      <vt:variant>
        <vt:i4>1376304</vt:i4>
      </vt:variant>
      <vt:variant>
        <vt:i4>56</vt:i4>
      </vt:variant>
      <vt:variant>
        <vt:i4>0</vt:i4>
      </vt:variant>
      <vt:variant>
        <vt:i4>5</vt:i4>
      </vt:variant>
      <vt:variant>
        <vt:lpwstr/>
      </vt:variant>
      <vt:variant>
        <vt:lpwstr>_Toc285800726</vt:lpwstr>
      </vt:variant>
      <vt:variant>
        <vt:i4>1376304</vt:i4>
      </vt:variant>
      <vt:variant>
        <vt:i4>50</vt:i4>
      </vt:variant>
      <vt:variant>
        <vt:i4>0</vt:i4>
      </vt:variant>
      <vt:variant>
        <vt:i4>5</vt:i4>
      </vt:variant>
      <vt:variant>
        <vt:lpwstr/>
      </vt:variant>
      <vt:variant>
        <vt:lpwstr>_Toc285800725</vt:lpwstr>
      </vt:variant>
      <vt:variant>
        <vt:i4>1376304</vt:i4>
      </vt:variant>
      <vt:variant>
        <vt:i4>44</vt:i4>
      </vt:variant>
      <vt:variant>
        <vt:i4>0</vt:i4>
      </vt:variant>
      <vt:variant>
        <vt:i4>5</vt:i4>
      </vt:variant>
      <vt:variant>
        <vt:lpwstr/>
      </vt:variant>
      <vt:variant>
        <vt:lpwstr>_Toc285800724</vt:lpwstr>
      </vt:variant>
      <vt:variant>
        <vt:i4>1376304</vt:i4>
      </vt:variant>
      <vt:variant>
        <vt:i4>38</vt:i4>
      </vt:variant>
      <vt:variant>
        <vt:i4>0</vt:i4>
      </vt:variant>
      <vt:variant>
        <vt:i4>5</vt:i4>
      </vt:variant>
      <vt:variant>
        <vt:lpwstr/>
      </vt:variant>
      <vt:variant>
        <vt:lpwstr>_Toc285800723</vt:lpwstr>
      </vt:variant>
      <vt:variant>
        <vt:i4>1376304</vt:i4>
      </vt:variant>
      <vt:variant>
        <vt:i4>32</vt:i4>
      </vt:variant>
      <vt:variant>
        <vt:i4>0</vt:i4>
      </vt:variant>
      <vt:variant>
        <vt:i4>5</vt:i4>
      </vt:variant>
      <vt:variant>
        <vt:lpwstr/>
      </vt:variant>
      <vt:variant>
        <vt:lpwstr>_Toc285800722</vt:lpwstr>
      </vt:variant>
      <vt:variant>
        <vt:i4>1376304</vt:i4>
      </vt:variant>
      <vt:variant>
        <vt:i4>26</vt:i4>
      </vt:variant>
      <vt:variant>
        <vt:i4>0</vt:i4>
      </vt:variant>
      <vt:variant>
        <vt:i4>5</vt:i4>
      </vt:variant>
      <vt:variant>
        <vt:lpwstr/>
      </vt:variant>
      <vt:variant>
        <vt:lpwstr>_Toc285800721</vt:lpwstr>
      </vt:variant>
      <vt:variant>
        <vt:i4>1376304</vt:i4>
      </vt:variant>
      <vt:variant>
        <vt:i4>20</vt:i4>
      </vt:variant>
      <vt:variant>
        <vt:i4>0</vt:i4>
      </vt:variant>
      <vt:variant>
        <vt:i4>5</vt:i4>
      </vt:variant>
      <vt:variant>
        <vt:lpwstr/>
      </vt:variant>
      <vt:variant>
        <vt:lpwstr>_Toc285800720</vt:lpwstr>
      </vt:variant>
      <vt:variant>
        <vt:i4>1441840</vt:i4>
      </vt:variant>
      <vt:variant>
        <vt:i4>14</vt:i4>
      </vt:variant>
      <vt:variant>
        <vt:i4>0</vt:i4>
      </vt:variant>
      <vt:variant>
        <vt:i4>5</vt:i4>
      </vt:variant>
      <vt:variant>
        <vt:lpwstr/>
      </vt:variant>
      <vt:variant>
        <vt:lpwstr>_Toc285800719</vt:lpwstr>
      </vt:variant>
      <vt:variant>
        <vt:i4>1441840</vt:i4>
      </vt:variant>
      <vt:variant>
        <vt:i4>8</vt:i4>
      </vt:variant>
      <vt:variant>
        <vt:i4>0</vt:i4>
      </vt:variant>
      <vt:variant>
        <vt:i4>5</vt:i4>
      </vt:variant>
      <vt:variant>
        <vt:lpwstr/>
      </vt:variant>
      <vt:variant>
        <vt:lpwstr>_Toc285800718</vt:lpwstr>
      </vt:variant>
      <vt:variant>
        <vt:i4>1441840</vt:i4>
      </vt:variant>
      <vt:variant>
        <vt:i4>2</vt:i4>
      </vt:variant>
      <vt:variant>
        <vt:i4>0</vt:i4>
      </vt:variant>
      <vt:variant>
        <vt:i4>5</vt:i4>
      </vt:variant>
      <vt:variant>
        <vt:lpwstr/>
      </vt:variant>
      <vt:variant>
        <vt:lpwstr>_Toc285800717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Beckmann, Allan - EBSA</cp:lastModifiedBy>
  <cp:revision>4</cp:revision>
  <cp:lastPrinted>2011-03-07T18:20:00Z</cp:lastPrinted>
  <dcterms:created xsi:type="dcterms:W3CDTF">2013-08-01T16:16:00Z</dcterms:created>
  <dcterms:modified xsi:type="dcterms:W3CDTF">2013-08-01T17:36:00Z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